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FC9" w:rsidRPr="00D35673" w:rsidRDefault="00344FC9" w:rsidP="00344FC9">
      <w:pPr>
        <w:autoSpaceDE w:val="0"/>
        <w:autoSpaceDN w:val="0"/>
        <w:adjustRightInd w:val="0"/>
        <w:rPr>
          <w:rFonts w:ascii="Arial" w:hAnsi="Arial" w:cs="Arial"/>
          <w:b/>
          <w:szCs w:val="22"/>
          <w:lang w:val="es-MX"/>
        </w:rPr>
      </w:pPr>
      <w:r w:rsidRPr="00D35673">
        <w:rPr>
          <w:rFonts w:ascii="Arial" w:hAnsi="Arial" w:cs="Arial"/>
          <w:b/>
          <w:szCs w:val="22"/>
          <w:lang w:val="es-MX"/>
        </w:rPr>
        <w:t>Anexo 4: Formato de Aspectos Relevantes de la Evaluación</w:t>
      </w:r>
    </w:p>
    <w:p w:rsidR="00344FC9" w:rsidRPr="00AA1E77" w:rsidRDefault="00344FC9" w:rsidP="00344FC9">
      <w:pPr>
        <w:autoSpaceDE w:val="0"/>
        <w:autoSpaceDN w:val="0"/>
        <w:adjustRightInd w:val="0"/>
        <w:rPr>
          <w:rFonts w:ascii="Arial" w:hAnsi="Arial" w:cs="Arial"/>
          <w:sz w:val="22"/>
          <w:szCs w:val="22"/>
          <w:lang w:val="es-MX"/>
        </w:rPr>
      </w:pPr>
    </w:p>
    <w:tbl>
      <w:tblPr>
        <w:tblStyle w:val="Cuadrculadetablaclar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7"/>
        <w:gridCol w:w="1084"/>
        <w:gridCol w:w="2637"/>
        <w:gridCol w:w="3130"/>
      </w:tblGrid>
      <w:tr w:rsidR="00344FC9" w:rsidTr="005A1776">
        <w:tc>
          <w:tcPr>
            <w:tcW w:w="5000" w:type="pct"/>
            <w:gridSpan w:val="4"/>
            <w:shd w:val="clear" w:color="auto" w:fill="auto"/>
          </w:tcPr>
          <w:p w:rsidR="00344FC9" w:rsidRDefault="00344FC9" w:rsidP="005A1776">
            <w:pPr>
              <w:ind w:right="-93"/>
              <w:rPr>
                <w:rFonts w:ascii="Arial" w:hAnsi="Arial" w:cs="Arial"/>
                <w:sz w:val="22"/>
                <w:szCs w:val="22"/>
                <w:lang w:val="es-ES"/>
              </w:rPr>
            </w:pPr>
            <w:r w:rsidRPr="007C191B">
              <w:rPr>
                <w:rFonts w:ascii="Arial" w:hAnsi="Arial" w:cs="Arial"/>
                <w:sz w:val="22"/>
                <w:szCs w:val="22"/>
                <w:lang w:val="es-ES"/>
              </w:rPr>
              <w:t>Clave y Denominación del ramo al que pertenece el programa evaluado</w:t>
            </w:r>
          </w:p>
          <w:p w:rsidR="00344FC9" w:rsidRPr="007C191B" w:rsidRDefault="00344FC9" w:rsidP="005A1776">
            <w:pPr>
              <w:ind w:right="-93"/>
              <w:rPr>
                <w:rFonts w:ascii="Arial" w:hAnsi="Arial" w:cs="Arial"/>
                <w:sz w:val="22"/>
                <w:szCs w:val="22"/>
                <w:lang w:val="es-ES"/>
              </w:rPr>
            </w:pPr>
            <w:r>
              <w:rPr>
                <w:rFonts w:ascii="Arial" w:hAnsi="Arial" w:cs="Arial"/>
                <w:sz w:val="22"/>
                <w:szCs w:val="22"/>
                <w:lang w:val="es-ES"/>
              </w:rPr>
              <w:t>Ramo 16: Medio Ambiente y Recursos Naturales</w:t>
            </w:r>
          </w:p>
        </w:tc>
      </w:tr>
      <w:tr w:rsidR="00344FC9" w:rsidTr="005A1776">
        <w:tc>
          <w:tcPr>
            <w:tcW w:w="1124" w:type="pct"/>
            <w:shd w:val="clear" w:color="auto" w:fill="D9D9D9" w:themeFill="background1" w:themeFillShade="D9"/>
          </w:tcPr>
          <w:p w:rsidR="00344FC9" w:rsidRPr="007C191B" w:rsidRDefault="00344FC9" w:rsidP="005A1776">
            <w:pPr>
              <w:ind w:right="-93"/>
              <w:rPr>
                <w:rFonts w:ascii="Arial" w:hAnsi="Arial" w:cs="Arial"/>
                <w:sz w:val="22"/>
                <w:szCs w:val="22"/>
                <w:lang w:val="es-ES"/>
              </w:rPr>
            </w:pPr>
            <w:r w:rsidRPr="007C191B">
              <w:rPr>
                <w:rFonts w:ascii="Arial" w:hAnsi="Arial" w:cs="Arial"/>
                <w:sz w:val="22"/>
                <w:szCs w:val="22"/>
                <w:lang w:val="es-ES"/>
              </w:rPr>
              <w:t xml:space="preserve">Clave del </w:t>
            </w:r>
            <w:proofErr w:type="spellStart"/>
            <w:r w:rsidRPr="007C191B">
              <w:rPr>
                <w:rFonts w:ascii="Arial" w:hAnsi="Arial" w:cs="Arial"/>
                <w:sz w:val="22"/>
                <w:szCs w:val="22"/>
                <w:lang w:val="es-ES"/>
              </w:rPr>
              <w:t>Pp</w:t>
            </w:r>
            <w:proofErr w:type="spellEnd"/>
            <w:r w:rsidRPr="007C191B">
              <w:rPr>
                <w:rFonts w:ascii="Arial" w:hAnsi="Arial" w:cs="Arial"/>
                <w:sz w:val="22"/>
                <w:szCs w:val="22"/>
                <w:lang w:val="es-ES"/>
              </w:rPr>
              <w:t xml:space="preserve"> :</w:t>
            </w:r>
          </w:p>
        </w:tc>
        <w:tc>
          <w:tcPr>
            <w:tcW w:w="613" w:type="pct"/>
            <w:shd w:val="clear" w:color="auto" w:fill="D9D9D9" w:themeFill="background1" w:themeFillShade="D9"/>
          </w:tcPr>
          <w:p w:rsidR="00344FC9" w:rsidRPr="007C191B" w:rsidRDefault="00344FC9" w:rsidP="005A1776">
            <w:pPr>
              <w:ind w:right="-93"/>
              <w:rPr>
                <w:rFonts w:ascii="Arial" w:hAnsi="Arial" w:cs="Arial"/>
                <w:sz w:val="22"/>
                <w:szCs w:val="22"/>
                <w:lang w:val="es-ES"/>
              </w:rPr>
            </w:pPr>
            <w:r>
              <w:rPr>
                <w:rFonts w:ascii="Arial" w:hAnsi="Arial" w:cs="Arial"/>
                <w:sz w:val="22"/>
                <w:szCs w:val="22"/>
                <w:lang w:val="es-ES"/>
              </w:rPr>
              <w:t>S217</w:t>
            </w:r>
          </w:p>
        </w:tc>
        <w:tc>
          <w:tcPr>
            <w:tcW w:w="1492" w:type="pct"/>
            <w:shd w:val="clear" w:color="auto" w:fill="D9D9D9" w:themeFill="background1" w:themeFillShade="D9"/>
          </w:tcPr>
          <w:p w:rsidR="00344FC9" w:rsidRPr="007C191B" w:rsidRDefault="00344FC9" w:rsidP="005A1776">
            <w:pPr>
              <w:ind w:right="-93"/>
              <w:jc w:val="both"/>
              <w:rPr>
                <w:rFonts w:ascii="Arial" w:hAnsi="Arial" w:cs="Arial"/>
                <w:sz w:val="22"/>
                <w:szCs w:val="22"/>
                <w:lang w:val="es-ES"/>
              </w:rPr>
            </w:pPr>
            <w:r w:rsidRPr="007C191B">
              <w:rPr>
                <w:rFonts w:ascii="Arial" w:hAnsi="Arial" w:cs="Arial"/>
                <w:sz w:val="22"/>
                <w:szCs w:val="22"/>
                <w:lang w:val="es-ES"/>
              </w:rPr>
              <w:t xml:space="preserve">Denominación del </w:t>
            </w:r>
            <w:proofErr w:type="spellStart"/>
            <w:r w:rsidRPr="007C191B">
              <w:rPr>
                <w:rFonts w:ascii="Arial" w:hAnsi="Arial" w:cs="Arial"/>
                <w:sz w:val="22"/>
                <w:szCs w:val="22"/>
                <w:lang w:val="es-ES"/>
              </w:rPr>
              <w:t>Pp</w:t>
            </w:r>
            <w:proofErr w:type="spellEnd"/>
            <w:r w:rsidRPr="007C191B">
              <w:rPr>
                <w:rFonts w:ascii="Arial" w:hAnsi="Arial" w:cs="Arial"/>
                <w:sz w:val="22"/>
                <w:szCs w:val="22"/>
                <w:lang w:val="es-ES"/>
              </w:rPr>
              <w:t xml:space="preserve"> :</w:t>
            </w:r>
          </w:p>
        </w:tc>
        <w:tc>
          <w:tcPr>
            <w:tcW w:w="1771" w:type="pct"/>
            <w:shd w:val="clear" w:color="auto" w:fill="D9D9D9" w:themeFill="background1" w:themeFillShade="D9"/>
          </w:tcPr>
          <w:p w:rsidR="00344FC9" w:rsidRPr="007C191B" w:rsidRDefault="00344FC9" w:rsidP="005A1776">
            <w:pPr>
              <w:ind w:right="-93"/>
              <w:jc w:val="both"/>
              <w:rPr>
                <w:rFonts w:ascii="Arial" w:hAnsi="Arial" w:cs="Arial"/>
                <w:sz w:val="22"/>
                <w:szCs w:val="22"/>
                <w:lang w:val="es-ES"/>
              </w:rPr>
            </w:pPr>
            <w:r w:rsidRPr="00344FC9">
              <w:rPr>
                <w:rFonts w:ascii="Arial" w:hAnsi="Arial" w:cs="Arial"/>
                <w:sz w:val="22"/>
                <w:szCs w:val="22"/>
                <w:lang w:val="es-ES"/>
              </w:rPr>
              <w:t>Programa de Apoyo a la Infraestructura Hidroagrícola</w:t>
            </w:r>
          </w:p>
        </w:tc>
      </w:tr>
      <w:tr w:rsidR="00344FC9" w:rsidTr="005A1776">
        <w:tc>
          <w:tcPr>
            <w:tcW w:w="1124" w:type="pct"/>
          </w:tcPr>
          <w:p w:rsidR="00344FC9" w:rsidRPr="007C191B" w:rsidRDefault="00344FC9" w:rsidP="005A1776">
            <w:pPr>
              <w:ind w:right="-93"/>
              <w:rPr>
                <w:rFonts w:ascii="Arial" w:hAnsi="Arial" w:cs="Arial"/>
                <w:sz w:val="22"/>
                <w:szCs w:val="22"/>
                <w:lang w:val="es-ES"/>
              </w:rPr>
            </w:pPr>
            <w:r w:rsidRPr="007C191B">
              <w:rPr>
                <w:rFonts w:ascii="Arial" w:hAnsi="Arial" w:cs="Arial"/>
                <w:sz w:val="22"/>
                <w:szCs w:val="22"/>
                <w:lang w:val="es-ES"/>
              </w:rPr>
              <w:t>Unidad Administrativa</w:t>
            </w:r>
          </w:p>
        </w:tc>
        <w:tc>
          <w:tcPr>
            <w:tcW w:w="3876" w:type="pct"/>
            <w:gridSpan w:val="3"/>
          </w:tcPr>
          <w:p w:rsidR="00344FC9" w:rsidRPr="007C191B" w:rsidRDefault="00344FC9" w:rsidP="00344FC9">
            <w:pPr>
              <w:ind w:right="-93"/>
              <w:rPr>
                <w:rFonts w:ascii="Arial" w:hAnsi="Arial" w:cs="Arial"/>
                <w:sz w:val="22"/>
                <w:szCs w:val="22"/>
                <w:lang w:val="es-ES"/>
              </w:rPr>
            </w:pPr>
            <w:r w:rsidRPr="007C191B">
              <w:rPr>
                <w:rFonts w:ascii="Arial" w:hAnsi="Arial" w:cs="Arial"/>
                <w:sz w:val="22"/>
                <w:szCs w:val="22"/>
                <w:lang w:val="es-ES"/>
              </w:rPr>
              <w:t xml:space="preserve">Subdirección General de </w:t>
            </w:r>
            <w:r>
              <w:rPr>
                <w:rFonts w:ascii="Arial" w:hAnsi="Arial" w:cs="Arial"/>
                <w:sz w:val="22"/>
                <w:szCs w:val="22"/>
                <w:lang w:val="es-ES"/>
              </w:rPr>
              <w:t>Infraestructura Hidroagrícola</w:t>
            </w:r>
            <w:r w:rsidRPr="007C191B">
              <w:rPr>
                <w:rFonts w:ascii="Arial" w:hAnsi="Arial" w:cs="Arial"/>
                <w:sz w:val="22"/>
                <w:szCs w:val="22"/>
                <w:lang w:val="es-ES"/>
              </w:rPr>
              <w:t xml:space="preserve"> de la Comisión Nacional del Agua. SEMARNAT</w:t>
            </w:r>
          </w:p>
        </w:tc>
      </w:tr>
      <w:tr w:rsidR="00344FC9" w:rsidTr="005A1776">
        <w:tc>
          <w:tcPr>
            <w:tcW w:w="1124" w:type="pct"/>
            <w:shd w:val="clear" w:color="auto" w:fill="D9D9D9" w:themeFill="background1" w:themeFillShade="D9"/>
          </w:tcPr>
          <w:p w:rsidR="00344FC9" w:rsidRPr="007C191B" w:rsidRDefault="00344FC9" w:rsidP="005A1776">
            <w:pPr>
              <w:ind w:right="-93"/>
              <w:rPr>
                <w:rFonts w:ascii="Arial" w:hAnsi="Arial" w:cs="Arial"/>
                <w:sz w:val="22"/>
                <w:szCs w:val="22"/>
                <w:lang w:val="es-ES"/>
              </w:rPr>
            </w:pPr>
            <w:r w:rsidRPr="007C191B">
              <w:rPr>
                <w:rFonts w:ascii="Arial" w:hAnsi="Arial" w:cs="Arial"/>
                <w:sz w:val="22"/>
                <w:szCs w:val="22"/>
                <w:lang w:val="es-ES"/>
              </w:rPr>
              <w:t>Nombre del Responsable de la Unidad</w:t>
            </w:r>
          </w:p>
        </w:tc>
        <w:tc>
          <w:tcPr>
            <w:tcW w:w="3876" w:type="pct"/>
            <w:gridSpan w:val="3"/>
            <w:shd w:val="clear" w:color="auto" w:fill="D9D9D9" w:themeFill="background1" w:themeFillShade="D9"/>
          </w:tcPr>
          <w:p w:rsidR="00344FC9" w:rsidRPr="007C191B" w:rsidRDefault="00344FC9" w:rsidP="005A1776">
            <w:pPr>
              <w:ind w:right="-93"/>
              <w:rPr>
                <w:rFonts w:ascii="Arial" w:hAnsi="Arial" w:cs="Arial"/>
                <w:sz w:val="22"/>
                <w:szCs w:val="22"/>
                <w:lang w:val="es-ES"/>
              </w:rPr>
            </w:pPr>
            <w:r w:rsidRPr="00344FC9">
              <w:rPr>
                <w:rFonts w:ascii="Arial" w:hAnsi="Arial" w:cs="Arial"/>
                <w:sz w:val="22"/>
                <w:szCs w:val="22"/>
                <w:lang w:val="es-ES"/>
              </w:rPr>
              <w:t>Marco Antonio Parra Cota</w:t>
            </w:r>
          </w:p>
        </w:tc>
      </w:tr>
      <w:tr w:rsidR="00344FC9" w:rsidTr="005A1776">
        <w:tc>
          <w:tcPr>
            <w:tcW w:w="1124" w:type="pct"/>
          </w:tcPr>
          <w:p w:rsidR="00344FC9" w:rsidRPr="007C191B" w:rsidRDefault="00344FC9" w:rsidP="005A1776">
            <w:pPr>
              <w:ind w:right="-93"/>
              <w:rPr>
                <w:rFonts w:ascii="Arial" w:hAnsi="Arial" w:cs="Arial"/>
                <w:sz w:val="22"/>
                <w:szCs w:val="22"/>
                <w:lang w:val="es-ES"/>
              </w:rPr>
            </w:pPr>
            <w:r w:rsidRPr="007C191B">
              <w:rPr>
                <w:rFonts w:ascii="Arial" w:hAnsi="Arial" w:cs="Arial"/>
                <w:sz w:val="22"/>
                <w:szCs w:val="22"/>
                <w:lang w:val="es-ES"/>
              </w:rPr>
              <w:t>Tipo de Evaluación</w:t>
            </w:r>
          </w:p>
        </w:tc>
        <w:tc>
          <w:tcPr>
            <w:tcW w:w="3876" w:type="pct"/>
            <w:gridSpan w:val="3"/>
          </w:tcPr>
          <w:p w:rsidR="00344FC9" w:rsidRPr="007C191B" w:rsidRDefault="00344FC9" w:rsidP="005A1776">
            <w:pPr>
              <w:ind w:right="-93"/>
              <w:rPr>
                <w:rFonts w:ascii="Arial" w:hAnsi="Arial" w:cs="Arial"/>
                <w:sz w:val="22"/>
                <w:szCs w:val="22"/>
                <w:lang w:val="es-ES"/>
              </w:rPr>
            </w:pPr>
            <w:r w:rsidRPr="007C191B">
              <w:rPr>
                <w:rFonts w:ascii="Arial" w:hAnsi="Arial" w:cs="Arial"/>
                <w:sz w:val="22"/>
                <w:szCs w:val="22"/>
                <w:lang w:val="es-ES"/>
              </w:rPr>
              <w:t>De consistencia y Resultados</w:t>
            </w:r>
          </w:p>
        </w:tc>
      </w:tr>
    </w:tbl>
    <w:p w:rsidR="00231157" w:rsidRPr="006C7524" w:rsidRDefault="00231157" w:rsidP="00231157">
      <w:pPr>
        <w:contextualSpacing/>
        <w:rPr>
          <w:rFonts w:ascii="Segoe UI Historic" w:hAnsi="Segoe UI Historic" w:cs="Segoe UI Historic"/>
          <w:sz w:val="20"/>
          <w:szCs w:val="20"/>
        </w:rPr>
      </w:pPr>
    </w:p>
    <w:p w:rsidR="00231157" w:rsidRDefault="00231157" w:rsidP="00231157">
      <w:pPr>
        <w:contextualSpacing/>
        <w:rPr>
          <w:rFonts w:ascii="Soberana Sans" w:hAnsi="Soberana Sans" w:cs="Segoe UI Historic"/>
          <w:b/>
          <w:szCs w:val="20"/>
        </w:rPr>
      </w:pPr>
      <w:r w:rsidRPr="0016628A">
        <w:rPr>
          <w:rFonts w:ascii="Soberana Sans" w:hAnsi="Soberana Sans" w:cs="Segoe UI Historic"/>
          <w:b/>
          <w:szCs w:val="20"/>
        </w:rPr>
        <w:t>Descripción del Programa</w:t>
      </w:r>
    </w:p>
    <w:p w:rsidR="00231157" w:rsidRPr="0016628A" w:rsidRDefault="00231157" w:rsidP="00231157">
      <w:pPr>
        <w:contextualSpacing/>
        <w:rPr>
          <w:rFonts w:ascii="Soberana Sans" w:hAnsi="Soberana Sans" w:cs="Segoe UI Historic"/>
          <w:b/>
          <w:szCs w:val="20"/>
        </w:rPr>
      </w:pPr>
    </w:p>
    <w:p w:rsidR="00231157" w:rsidRPr="006C7524" w:rsidRDefault="00231157" w:rsidP="00231157">
      <w:pPr>
        <w:contextualSpacing/>
        <w:jc w:val="both"/>
        <w:rPr>
          <w:rFonts w:ascii="Segoe UI Historic" w:hAnsi="Segoe UI Historic" w:cs="Segoe UI Historic"/>
          <w:sz w:val="20"/>
          <w:szCs w:val="20"/>
        </w:rPr>
      </w:pPr>
      <w:r w:rsidRPr="00563695">
        <w:rPr>
          <w:rFonts w:ascii="Segoe UI Historic" w:hAnsi="Segoe UI Historic" w:cs="Segoe UI Historic"/>
          <w:sz w:val="20"/>
          <w:szCs w:val="20"/>
        </w:rPr>
        <w:t>El Programa que nos ocupa, el S217 Apoyo a la Infraestructura Hidroagrícola, de acuerdo con sus</w:t>
      </w:r>
      <w:r w:rsidRPr="006C7524">
        <w:rPr>
          <w:rFonts w:ascii="Segoe UI Historic" w:hAnsi="Segoe UI Historic" w:cs="Segoe UI Historic"/>
          <w:sz w:val="20"/>
          <w:szCs w:val="20"/>
        </w:rPr>
        <w:t xml:space="preserve"> Reglas de Operación, es un programa que persigue tres objetivos: 1) busca promover un uso eficiente del agua, 2) busca aumentar la producción y productividad en la agricultura de riego y temporal tecnificado, y 3) busca ampliar la frontera agrícola en áreas de riego y de temporal. </w:t>
      </w:r>
    </w:p>
    <w:p w:rsidR="00231157" w:rsidRPr="006C7524" w:rsidRDefault="00231157" w:rsidP="00231157">
      <w:pPr>
        <w:contextualSpacing/>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La forma en que lo hace es otorgando recursos a las y los usuarios de la infraestructura hidroagrícola que lo soliciten y cumplan los requisitos establecidos en las reglas y manuales de operación, para destinarlos a acciones de rehabilitación, modernización, equipamiento y tecnificación de los Distritos de Riego, Unidades de Riego y Distritos de Temporal Tecnificado. Además, cuenta con un componente para la devolución de pagos por suministro de agua en bloque para aplicarlos en conceptos de conservación y mantenimiento en canales y drenes. El programa tiene también recursos para apoyos especiales o estratégicos para mitigar daños o efectos negativos a la infraestructura o reducir el riesgo de pérdidas materiales o humanas. </w:t>
      </w:r>
    </w:p>
    <w:p w:rsidR="00231157" w:rsidRPr="006C7524" w:rsidRDefault="00231157" w:rsidP="00231157">
      <w:pPr>
        <w:pStyle w:val="Ttulo3"/>
        <w:spacing w:before="0" w:after="0"/>
        <w:contextualSpacing/>
        <w:rPr>
          <w:rFonts w:ascii="Segoe UI Historic" w:eastAsiaTheme="minorHAnsi" w:hAnsi="Segoe UI Historic" w:cs="Segoe UI Historic"/>
          <w:b w:val="0"/>
          <w:color w:val="262626" w:themeColor="text1" w:themeTint="D9"/>
          <w:sz w:val="20"/>
          <w:szCs w:val="20"/>
        </w:rPr>
      </w:pPr>
      <w:r w:rsidRPr="006C7524">
        <w:rPr>
          <w:rFonts w:ascii="Segoe UI Historic" w:eastAsiaTheme="minorHAnsi" w:hAnsi="Segoe UI Historic" w:cs="Segoe UI Historic"/>
          <w:b w:val="0"/>
          <w:color w:val="262626" w:themeColor="text1" w:themeTint="D9"/>
          <w:sz w:val="20"/>
          <w:szCs w:val="20"/>
        </w:rPr>
        <w:t>El programa está integrado por los 4 subprogramas y 8 componentes siguientes:</w:t>
      </w:r>
    </w:p>
    <w:p w:rsidR="00231157" w:rsidRPr="006C7524" w:rsidRDefault="00231157" w:rsidP="00231157">
      <w:pPr>
        <w:pStyle w:val="Prrafodelista"/>
        <w:numPr>
          <w:ilvl w:val="0"/>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Subprograma de Rehabilitación, Modernización, Tecnificación y Equipamiento de Distritos de Riego.</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Rehabilitación, Modernización y Tecnificación de Distritos de Riego.</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Equipamiento de Distritos de Riego.</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Devolución de pagos por Suministro de Agua en Bloque.</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Riego por Gravedad Tecnificado.</w:t>
      </w:r>
    </w:p>
    <w:p w:rsidR="00231157" w:rsidRPr="006C7524" w:rsidRDefault="00231157" w:rsidP="00231157">
      <w:pPr>
        <w:pStyle w:val="Prrafodelista"/>
        <w:numPr>
          <w:ilvl w:val="0"/>
          <w:numId w:val="3"/>
        </w:numPr>
        <w:spacing w:after="0" w:line="240" w:lineRule="auto"/>
        <w:ind w:left="357" w:hanging="357"/>
        <w:jc w:val="both"/>
        <w:rPr>
          <w:rFonts w:ascii="Segoe UI Historic" w:hAnsi="Segoe UI Historic" w:cs="Segoe UI Historic"/>
          <w:sz w:val="20"/>
          <w:szCs w:val="20"/>
        </w:rPr>
      </w:pPr>
      <w:r w:rsidRPr="006C7524">
        <w:rPr>
          <w:rFonts w:ascii="Segoe UI Historic" w:hAnsi="Segoe UI Historic" w:cs="Segoe UI Historic"/>
          <w:sz w:val="20"/>
          <w:szCs w:val="20"/>
        </w:rPr>
        <w:t>Subprograma de Rehabilitación, Modernización, Tecnificación y Equipamiento de Temporal Tecnificado.</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Infraestructura de Riego Suplementario en Zonas de Temporal.</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Modernización de los Distritos de Temporal Tecnificado.</w:t>
      </w:r>
    </w:p>
    <w:p w:rsidR="00231157" w:rsidRPr="006C7524" w:rsidRDefault="00231157" w:rsidP="00231157">
      <w:pPr>
        <w:pStyle w:val="Prrafodelista"/>
        <w:numPr>
          <w:ilvl w:val="0"/>
          <w:numId w:val="3"/>
        </w:numPr>
        <w:spacing w:after="0" w:line="240" w:lineRule="auto"/>
        <w:ind w:left="357" w:hanging="357"/>
        <w:jc w:val="both"/>
        <w:rPr>
          <w:rFonts w:ascii="Segoe UI Historic" w:hAnsi="Segoe UI Historic" w:cs="Segoe UI Historic"/>
          <w:sz w:val="20"/>
          <w:szCs w:val="20"/>
        </w:rPr>
      </w:pPr>
      <w:r w:rsidRPr="006C7524">
        <w:rPr>
          <w:rFonts w:ascii="Segoe UI Historic" w:hAnsi="Segoe UI Historic" w:cs="Segoe UI Historic"/>
          <w:sz w:val="20"/>
          <w:szCs w:val="20"/>
        </w:rPr>
        <w:t>Subprograma de Rehabilitación, Modernización, Tecnificación y Equipamiento de Unidades de Riego.</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Rehabilitación, Modernización, Tecnificación y Equipamiento de Unidades de Riego.</w:t>
      </w:r>
    </w:p>
    <w:p w:rsidR="00231157" w:rsidRPr="006C7524" w:rsidRDefault="00231157" w:rsidP="00231157">
      <w:pPr>
        <w:pStyle w:val="Prrafodelista"/>
        <w:numPr>
          <w:ilvl w:val="0"/>
          <w:numId w:val="3"/>
        </w:numPr>
        <w:spacing w:after="0" w:line="240" w:lineRule="auto"/>
        <w:ind w:left="357" w:hanging="357"/>
        <w:jc w:val="both"/>
        <w:rPr>
          <w:rFonts w:ascii="Segoe UI Historic" w:hAnsi="Segoe UI Historic" w:cs="Segoe UI Historic"/>
          <w:sz w:val="20"/>
          <w:szCs w:val="20"/>
        </w:rPr>
      </w:pPr>
      <w:r w:rsidRPr="006C7524">
        <w:rPr>
          <w:rFonts w:ascii="Segoe UI Historic" w:hAnsi="Segoe UI Historic" w:cs="Segoe UI Historic"/>
          <w:sz w:val="20"/>
          <w:szCs w:val="20"/>
        </w:rPr>
        <w:t>Subprograma de Apoyos Especiales y Estratégicos.</w:t>
      </w:r>
    </w:p>
    <w:p w:rsidR="00231157" w:rsidRPr="006C7524" w:rsidRDefault="00231157" w:rsidP="00231157">
      <w:pPr>
        <w:pStyle w:val="Prrafodelista"/>
        <w:numPr>
          <w:ilvl w:val="1"/>
          <w:numId w:val="3"/>
        </w:numPr>
        <w:spacing w:after="0" w:line="240" w:lineRule="auto"/>
        <w:jc w:val="both"/>
        <w:rPr>
          <w:rFonts w:ascii="Segoe UI Historic" w:hAnsi="Segoe UI Historic" w:cs="Segoe UI Historic"/>
          <w:sz w:val="20"/>
          <w:szCs w:val="20"/>
        </w:rPr>
      </w:pPr>
      <w:r w:rsidRPr="006C7524">
        <w:rPr>
          <w:rFonts w:ascii="Segoe UI Historic" w:hAnsi="Segoe UI Historic" w:cs="Segoe UI Historic"/>
          <w:sz w:val="20"/>
          <w:szCs w:val="20"/>
        </w:rPr>
        <w:t>Componente Apoyos Especiales y Estratégicos.</w:t>
      </w:r>
    </w:p>
    <w:p w:rsidR="00231157" w:rsidRPr="006C7524" w:rsidRDefault="00231157" w:rsidP="00231157">
      <w:pPr>
        <w:pStyle w:val="Ttulo3"/>
        <w:spacing w:before="0" w:after="0"/>
        <w:contextualSpacing/>
        <w:rPr>
          <w:rFonts w:ascii="Segoe UI Historic" w:eastAsiaTheme="minorHAnsi" w:hAnsi="Segoe UI Historic" w:cs="Segoe UI Historic"/>
          <w:b w:val="0"/>
          <w:color w:val="262626" w:themeColor="text1" w:themeTint="D9"/>
          <w:sz w:val="20"/>
          <w:szCs w:val="20"/>
        </w:rPr>
      </w:pPr>
      <w:r w:rsidRPr="006C7524">
        <w:rPr>
          <w:rFonts w:ascii="Segoe UI Historic" w:eastAsiaTheme="minorHAnsi" w:hAnsi="Segoe UI Historic" w:cs="Segoe UI Historic"/>
          <w:b w:val="0"/>
          <w:color w:val="262626" w:themeColor="text1" w:themeTint="D9"/>
          <w:sz w:val="20"/>
          <w:szCs w:val="20"/>
        </w:rPr>
        <w:lastRenderedPageBreak/>
        <w:t xml:space="preserve">El programa va dirigido a las y los usuarios de la infraestructura hidroagrícola de los Distritos de Riego, </w:t>
      </w:r>
      <w:r w:rsidRPr="00563695">
        <w:rPr>
          <w:rFonts w:ascii="Segoe UI Historic" w:eastAsiaTheme="minorHAnsi" w:hAnsi="Segoe UI Historic" w:cs="Segoe UI Historic"/>
          <w:b w:val="0"/>
          <w:color w:val="262626" w:themeColor="text1" w:themeTint="D9"/>
          <w:sz w:val="20"/>
          <w:szCs w:val="20"/>
        </w:rPr>
        <w:t xml:space="preserve">de los Distritos de Temporal Tecnificado y de las Unidades de Riego, adicionalmente, a las zonas de temporal en Campeche, Chiapas, Guerrero, Nayarit, Oaxaca, </w:t>
      </w:r>
      <w:proofErr w:type="spellStart"/>
      <w:r w:rsidRPr="00563695">
        <w:rPr>
          <w:rFonts w:ascii="Segoe UI Historic" w:eastAsiaTheme="minorHAnsi" w:hAnsi="Segoe UI Historic" w:cs="Segoe UI Historic"/>
          <w:b w:val="0"/>
          <w:color w:val="262626" w:themeColor="text1" w:themeTint="D9"/>
          <w:sz w:val="20"/>
          <w:szCs w:val="20"/>
        </w:rPr>
        <w:t>Quin</w:t>
      </w:r>
      <w:proofErr w:type="spellEnd"/>
      <w:r w:rsidRPr="00563695">
        <w:rPr>
          <w:rFonts w:ascii="Segoe UI Historic" w:eastAsiaTheme="minorHAnsi" w:hAnsi="Segoe UI Historic" w:cs="Segoe UI Historic"/>
          <w:b w:val="0"/>
          <w:color w:val="262626" w:themeColor="text1" w:themeTint="D9"/>
          <w:sz w:val="20"/>
          <w:szCs w:val="20"/>
        </w:rPr>
        <w:t xml:space="preserve"> tana Roo, San Luis Potosí, Tabasco, Tamaulipas, Veracruz y Yucatán, y son elegibles quienes cubran los requisitos de cada componente. A quienes constituyen las poblaciones potencial y objetivo se les denomina beneficiarios hidroagrícolas. Un aspecto semántico que señalar, es que ese mismo término se define en las Reglas de Operación, en su artículo 3, a las “personas físicas o morales apoyadas con recursos de los</w:t>
      </w:r>
      <w:r w:rsidRPr="006C7524">
        <w:rPr>
          <w:rFonts w:ascii="Segoe UI Historic" w:eastAsiaTheme="minorHAnsi" w:hAnsi="Segoe UI Historic" w:cs="Segoe UI Historic"/>
          <w:b w:val="0"/>
          <w:color w:val="262626" w:themeColor="text1" w:themeTint="D9"/>
          <w:sz w:val="20"/>
          <w:szCs w:val="20"/>
        </w:rPr>
        <w:t xml:space="preserve"> programas hidroagrícolas”.</w:t>
      </w:r>
    </w:p>
    <w:p w:rsidR="00231157" w:rsidRPr="006C7524" w:rsidRDefault="00231157" w:rsidP="00231157">
      <w:pPr>
        <w:contextualSpacing/>
        <w:rPr>
          <w:rFonts w:ascii="Segoe UI Historic" w:hAnsi="Segoe UI Historic" w:cs="Segoe UI Historic"/>
          <w:sz w:val="20"/>
          <w:szCs w:val="20"/>
        </w:rPr>
      </w:pPr>
    </w:p>
    <w:p w:rsidR="00231157" w:rsidRDefault="00231157" w:rsidP="00231157">
      <w:pPr>
        <w:contextualSpacing/>
        <w:rPr>
          <w:rFonts w:ascii="Soberana Sans" w:hAnsi="Soberana Sans" w:cs="Segoe UI Historic"/>
          <w:b/>
          <w:szCs w:val="20"/>
        </w:rPr>
      </w:pPr>
      <w:r w:rsidRPr="0016628A">
        <w:rPr>
          <w:rFonts w:ascii="Soberana Sans" w:hAnsi="Soberana Sans" w:cs="Segoe UI Historic"/>
          <w:b/>
          <w:szCs w:val="20"/>
        </w:rPr>
        <w:t>Propósito de la Evaluación y Objetivos Principales</w:t>
      </w:r>
    </w:p>
    <w:p w:rsidR="00231157" w:rsidRPr="0016628A" w:rsidRDefault="00231157" w:rsidP="00231157">
      <w:pPr>
        <w:contextualSpacing/>
        <w:rPr>
          <w:rFonts w:ascii="Soberana Sans" w:hAnsi="Soberana Sans" w:cs="Segoe UI Historic"/>
          <w:b/>
          <w:szCs w:val="20"/>
        </w:rPr>
      </w:pPr>
    </w:p>
    <w:p w:rsidR="00231157" w:rsidRPr="006C7524" w:rsidRDefault="00231157" w:rsidP="00231157">
      <w:pPr>
        <w:contextualSpacing/>
        <w:rPr>
          <w:rFonts w:ascii="Segoe UI Historic" w:hAnsi="Segoe UI Historic" w:cs="Segoe UI Historic"/>
          <w:sz w:val="20"/>
          <w:szCs w:val="20"/>
        </w:rPr>
      </w:pPr>
      <w:r w:rsidRPr="006C7524">
        <w:rPr>
          <w:rFonts w:ascii="Segoe UI Historic" w:hAnsi="Segoe UI Historic" w:cs="Segoe UI Historic"/>
          <w:sz w:val="20"/>
          <w:szCs w:val="20"/>
        </w:rPr>
        <w:t>El objetivo de los servicios de consultoría es realizar para la Comisión Nacional del Agua, un análisis sistemático para evaluar la implementación del programa presupuestario S217 “Programa de Apoyo a la Infraestructura Hidroagrícola", con la finalidad de contribuir a la mejora de la consistencia y orientación a resultados del programa presupuestario a través de la valoración de los elementos que integran su diseño, planeación e implementación, proveyendo información que retroalimente su diseño, implementación y resultados.</w:t>
      </w:r>
    </w:p>
    <w:p w:rsidR="00231157" w:rsidRDefault="00231157" w:rsidP="00231157">
      <w:pPr>
        <w:contextualSpacing/>
        <w:rPr>
          <w:rFonts w:ascii="Segoe UI Historic" w:hAnsi="Segoe UI Historic" w:cs="Segoe UI Historic"/>
          <w:b/>
          <w:sz w:val="20"/>
          <w:szCs w:val="20"/>
        </w:rPr>
      </w:pPr>
    </w:p>
    <w:p w:rsidR="00231157" w:rsidRPr="006C7524" w:rsidRDefault="00231157" w:rsidP="00231157">
      <w:pPr>
        <w:contextualSpacing/>
        <w:rPr>
          <w:rFonts w:ascii="Segoe UI Historic" w:hAnsi="Segoe UI Historic" w:cs="Segoe UI Historic"/>
          <w:b/>
          <w:sz w:val="20"/>
          <w:szCs w:val="20"/>
        </w:rPr>
      </w:pPr>
      <w:r w:rsidRPr="006C7524">
        <w:rPr>
          <w:rFonts w:ascii="Segoe UI Historic" w:hAnsi="Segoe UI Historic" w:cs="Segoe UI Historic"/>
          <w:b/>
          <w:sz w:val="20"/>
          <w:szCs w:val="20"/>
        </w:rPr>
        <w:t>Objetivos</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Analizar la lógica y congruencia en el diseño del programa, su vinculación con la planeación sectorial y nacional, la consistencia entre el diseño y la normatividad aplicable, así como las posibles complementariedades y/o coincidencias con otros programas federales;</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Identificar, analizar y valorar los instrumentos de planeación y orientación a resultados con que cuenta el Programa presupuestario;</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Analizar y valorar si el programa ha definido una estrategia de cobertura de mediano y de largo plazo y los avances presentados en el ejercicio fiscal evaluado;</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Analizar y valorar los principales procesos establecidos para la operación del Programa presupuestario, los sistemas de información que la soportan y sus mecanismos de transparencia y rendición de cuentas;</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Analizar y valorar los instrumentos que permitan medir el grado de satisfacción de los usuarios o destinatarios de los entregables o componentes del programa y sus resultados;</w:t>
      </w:r>
    </w:p>
    <w:p w:rsidR="00231157" w:rsidRPr="006C7524"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Valorar los resultados del Programa presupuestario respecto a la atención del problema o necesidad para la que fue creado; y</w:t>
      </w:r>
    </w:p>
    <w:p w:rsidR="00231157" w:rsidRDefault="00231157" w:rsidP="00231157">
      <w:pPr>
        <w:pStyle w:val="Prrafodelista"/>
        <w:numPr>
          <w:ilvl w:val="0"/>
          <w:numId w:val="2"/>
        </w:numPr>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Formular las recomendaciones que sean necesarias, para mejorar la gestión y los resultados del programa.</w:t>
      </w:r>
    </w:p>
    <w:p w:rsidR="00231157" w:rsidRPr="006C7524" w:rsidRDefault="00231157" w:rsidP="00231157">
      <w:pPr>
        <w:pStyle w:val="Prrafodelista"/>
        <w:spacing w:after="0" w:line="240" w:lineRule="auto"/>
        <w:ind w:left="714"/>
        <w:jc w:val="both"/>
        <w:rPr>
          <w:rFonts w:ascii="Segoe UI Historic" w:hAnsi="Segoe UI Historic" w:cs="Segoe UI Historic"/>
          <w:sz w:val="20"/>
          <w:szCs w:val="20"/>
        </w:rPr>
      </w:pPr>
    </w:p>
    <w:p w:rsidR="00231157" w:rsidRDefault="00231157" w:rsidP="00231157">
      <w:pPr>
        <w:contextualSpacing/>
        <w:rPr>
          <w:rFonts w:ascii="Soberana Sans" w:hAnsi="Soberana Sans" w:cs="Segoe UI Historic"/>
          <w:b/>
          <w:szCs w:val="20"/>
        </w:rPr>
      </w:pPr>
      <w:r w:rsidRPr="0016628A">
        <w:rPr>
          <w:rFonts w:ascii="Soberana Sans" w:hAnsi="Soberana Sans" w:cs="Segoe UI Historic"/>
          <w:b/>
          <w:szCs w:val="20"/>
        </w:rPr>
        <w:t>Principales Hallazgos</w:t>
      </w:r>
    </w:p>
    <w:p w:rsidR="00231157" w:rsidRPr="0016628A" w:rsidRDefault="00231157" w:rsidP="00231157">
      <w:pPr>
        <w:contextualSpacing/>
        <w:rPr>
          <w:rFonts w:ascii="Soberana Sans" w:hAnsi="Soberana Sans" w:cs="Segoe UI Historic"/>
          <w:b/>
          <w:szCs w:val="20"/>
        </w:rPr>
      </w:pPr>
    </w:p>
    <w:p w:rsidR="00231157" w:rsidRPr="006C7524" w:rsidRDefault="00231157" w:rsidP="00231157">
      <w:pPr>
        <w:contextualSpacing/>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Es fundamental resaltar que el haber sido fusionado el programa no representó ningún aporte a </w:t>
      </w:r>
      <w:proofErr w:type="gramStart"/>
      <w:r w:rsidRPr="006C7524">
        <w:rPr>
          <w:rFonts w:ascii="Segoe UI Historic" w:hAnsi="Segoe UI Historic" w:cs="Segoe UI Historic"/>
          <w:sz w:val="20"/>
          <w:szCs w:val="20"/>
        </w:rPr>
        <w:t>su  operación</w:t>
      </w:r>
      <w:proofErr w:type="gramEnd"/>
      <w:r w:rsidRPr="006C7524">
        <w:rPr>
          <w:rFonts w:ascii="Segoe UI Historic" w:hAnsi="Segoe UI Historic" w:cs="Segoe UI Historic"/>
          <w:sz w:val="20"/>
          <w:szCs w:val="20"/>
        </w:rPr>
        <w:t>, ya que los componentes se siguen ejecutando inercialmente como en los últimos años, sólo que con una nueva denominación programática y con la problemática que les representa tratar de armonizar documentalmente sus distintos objetivos en una sola Matriz de Indicadores y a un objetivo sectorial.</w:t>
      </w:r>
    </w:p>
    <w:p w:rsidR="00231157" w:rsidRPr="006C7524" w:rsidRDefault="00231157" w:rsidP="00231157">
      <w:pPr>
        <w:contextualSpacing/>
        <w:jc w:val="both"/>
        <w:rPr>
          <w:rFonts w:ascii="Segoe UI Historic" w:hAnsi="Segoe UI Historic" w:cs="Segoe UI Historic"/>
          <w:sz w:val="20"/>
          <w:szCs w:val="20"/>
        </w:rPr>
      </w:pPr>
      <w:r w:rsidRPr="006C7524">
        <w:rPr>
          <w:rFonts w:ascii="Segoe UI Historic" w:hAnsi="Segoe UI Historic" w:cs="Segoe UI Historic"/>
          <w:sz w:val="20"/>
          <w:szCs w:val="20"/>
        </w:rPr>
        <w:t>En 2017, los hallazgos y recomendaciones emitidos en 2016 en la Evaluación de Diseño, continúan vigentes ya que no se adoptaron como aspectos susceptibles de mejora.</w:t>
      </w:r>
    </w:p>
    <w:p w:rsidR="00231157" w:rsidRPr="006C7524" w:rsidRDefault="00231157" w:rsidP="00231157">
      <w:pPr>
        <w:contextualSpacing/>
        <w:jc w:val="both"/>
        <w:rPr>
          <w:rFonts w:ascii="Segoe UI Historic" w:hAnsi="Segoe UI Historic" w:cs="Segoe UI Historic"/>
          <w:sz w:val="20"/>
          <w:szCs w:val="20"/>
        </w:rPr>
      </w:pPr>
    </w:p>
    <w:p w:rsidR="00231157" w:rsidRPr="006C7524" w:rsidRDefault="00231157" w:rsidP="00231157">
      <w:pPr>
        <w:contextualSpacing/>
        <w:jc w:val="both"/>
        <w:rPr>
          <w:rFonts w:ascii="Segoe UI Historic" w:hAnsi="Segoe UI Historic" w:cs="Segoe UI Historic"/>
          <w:sz w:val="20"/>
          <w:szCs w:val="20"/>
        </w:rPr>
      </w:pPr>
      <w:r w:rsidRPr="006C7524">
        <w:rPr>
          <w:rFonts w:ascii="Segoe UI Historic" w:hAnsi="Segoe UI Historic" w:cs="Segoe UI Historic"/>
          <w:sz w:val="20"/>
          <w:szCs w:val="20"/>
        </w:rPr>
        <w:t>Como principales conclusiones de esta Evaluación de Consistencia y Resultados tenemos las siguientes:</w:t>
      </w:r>
    </w:p>
    <w:p w:rsidR="00231157" w:rsidRPr="0016628A" w:rsidRDefault="00231157" w:rsidP="00231157">
      <w:pPr>
        <w:pStyle w:val="Prrafodelista"/>
        <w:numPr>
          <w:ilvl w:val="0"/>
          <w:numId w:val="5"/>
        </w:numPr>
        <w:spacing w:after="0" w:line="240" w:lineRule="auto"/>
        <w:ind w:left="708" w:hanging="708"/>
        <w:jc w:val="both"/>
        <w:rPr>
          <w:rFonts w:ascii="Segoe UI Historic" w:hAnsi="Segoe UI Historic" w:cs="Segoe UI Historic"/>
          <w:sz w:val="20"/>
          <w:szCs w:val="20"/>
        </w:rPr>
      </w:pPr>
      <w:r w:rsidRPr="0016628A">
        <w:rPr>
          <w:rFonts w:ascii="Segoe UI Historic" w:hAnsi="Segoe UI Historic" w:cs="Segoe UI Historic"/>
          <w:sz w:val="20"/>
          <w:szCs w:val="20"/>
        </w:rPr>
        <w:lastRenderedPageBreak/>
        <w:t>El programa S217 es un programa necesario para la sostenibilidad de la infraestructura hidroagrícola, ha sido llevado por muchos años bajo diferentes estructuras programáticas, sin cambios significativos en su operación. Aprovecha un área de oportunidad, para mejorar la producción y la productividad del agua en distritos, unidades de riego y distritos de temporal tecnificado.</w:t>
      </w:r>
    </w:p>
    <w:p w:rsidR="00231157" w:rsidRPr="0016628A" w:rsidRDefault="00231157" w:rsidP="00231157">
      <w:pPr>
        <w:pStyle w:val="Prrafodelista"/>
        <w:numPr>
          <w:ilvl w:val="0"/>
          <w:numId w:val="5"/>
        </w:numPr>
        <w:spacing w:after="0" w:line="240" w:lineRule="auto"/>
        <w:ind w:left="708" w:hanging="708"/>
        <w:jc w:val="both"/>
        <w:rPr>
          <w:rFonts w:ascii="Segoe UI Historic" w:hAnsi="Segoe UI Historic" w:cs="Segoe UI Historic"/>
          <w:sz w:val="20"/>
          <w:szCs w:val="20"/>
        </w:rPr>
      </w:pPr>
      <w:r w:rsidRPr="0016628A">
        <w:rPr>
          <w:rFonts w:ascii="Segoe UI Historic" w:hAnsi="Segoe UI Historic" w:cs="Segoe UI Historic"/>
          <w:sz w:val="20"/>
          <w:szCs w:val="20"/>
        </w:rPr>
        <w:t xml:space="preserve">El programa S217 sigue requiriendo una adecuación en la definición del problema que atiende. El equipo evaluador propone la siguiente: </w:t>
      </w:r>
      <w:r w:rsidRPr="0016628A">
        <w:rPr>
          <w:rFonts w:ascii="Segoe UI Historic" w:hAnsi="Segoe UI Historic" w:cs="Segoe UI Historic"/>
          <w:i/>
          <w:sz w:val="20"/>
          <w:szCs w:val="20"/>
        </w:rPr>
        <w:t>La producción agrícola en los Distritos de Riego, Unidades de Riego y Distritos de Temporal Tecnificado presenta rendimientos reducidos ante las deficiencias operativas de la infraestructura hidroagrícola a cargo de las y los usuarios</w:t>
      </w:r>
      <w:r w:rsidRPr="0016628A">
        <w:rPr>
          <w:rFonts w:ascii="Segoe UI Historic" w:hAnsi="Segoe UI Historic" w:cs="Segoe UI Historic"/>
          <w:sz w:val="20"/>
          <w:szCs w:val="20"/>
        </w:rPr>
        <w:t>.</w:t>
      </w:r>
    </w:p>
    <w:p w:rsidR="00231157" w:rsidRPr="0016628A" w:rsidRDefault="00231157" w:rsidP="00231157">
      <w:pPr>
        <w:pStyle w:val="Prrafodelista"/>
        <w:numPr>
          <w:ilvl w:val="0"/>
          <w:numId w:val="5"/>
        </w:numPr>
        <w:spacing w:after="0" w:line="240" w:lineRule="auto"/>
        <w:ind w:left="708" w:hanging="708"/>
        <w:jc w:val="both"/>
        <w:rPr>
          <w:rFonts w:ascii="Segoe UI Historic" w:hAnsi="Segoe UI Historic" w:cs="Segoe UI Historic"/>
          <w:sz w:val="20"/>
          <w:szCs w:val="20"/>
        </w:rPr>
      </w:pPr>
      <w:r w:rsidRPr="0016628A">
        <w:rPr>
          <w:rFonts w:ascii="Segoe UI Historic" w:hAnsi="Segoe UI Historic" w:cs="Segoe UI Historic"/>
          <w:sz w:val="20"/>
          <w:szCs w:val="20"/>
        </w:rPr>
        <w:t>El programa S217 no identifica, ni cuantifica, ni caracteriza adecuadamente a sus poblaciones potencial y objetivo. Al ser fusionado el programa, se amplió su competencia a todos los subsidios que tuviera relación con la infraestructura hidroagrícola. Por tanto, este nuevo programa:</w:t>
      </w:r>
    </w:p>
    <w:p w:rsidR="00231157" w:rsidRPr="0016628A" w:rsidRDefault="00231157" w:rsidP="00231157">
      <w:pPr>
        <w:pStyle w:val="Prrafodelista"/>
        <w:numPr>
          <w:ilvl w:val="1"/>
          <w:numId w:val="5"/>
        </w:numPr>
        <w:spacing w:after="0" w:line="240" w:lineRule="auto"/>
        <w:ind w:left="1416" w:hanging="696"/>
        <w:jc w:val="both"/>
        <w:rPr>
          <w:rFonts w:ascii="Segoe UI Historic" w:hAnsi="Segoe UI Historic" w:cs="Segoe UI Historic"/>
          <w:sz w:val="20"/>
          <w:szCs w:val="20"/>
        </w:rPr>
      </w:pPr>
      <w:r w:rsidRPr="0016628A">
        <w:rPr>
          <w:rFonts w:ascii="Segoe UI Historic" w:hAnsi="Segoe UI Historic" w:cs="Segoe UI Historic"/>
          <w:sz w:val="20"/>
          <w:szCs w:val="20"/>
        </w:rPr>
        <w:t xml:space="preserve">Por un lado, integra distintas acciones que van orientadas a garantizar el acceso al agua en los Distritos de Riego y Unidades de Riego mediante la conservación y mejoramiento de la infraestructura existente; la capacitación de las y los productores; la asistencia para un mejor manejo de los sistemas de riego, así como la devolución de los derechos de agua para que sean invertidos en obras y acciones para el mismo fin.  En este caso los usuarios hidroagrícolas son personas morales (483 organizaciones de usuarios de Distritos de Riego y las de 39,492 unidades de </w:t>
      </w:r>
      <w:proofErr w:type="gramStart"/>
      <w:r w:rsidRPr="0016628A">
        <w:rPr>
          <w:rFonts w:ascii="Segoe UI Historic" w:hAnsi="Segoe UI Historic" w:cs="Segoe UI Historic"/>
          <w:sz w:val="20"/>
          <w:szCs w:val="20"/>
        </w:rPr>
        <w:t>riego)  y</w:t>
      </w:r>
      <w:proofErr w:type="gramEnd"/>
      <w:r w:rsidRPr="0016628A">
        <w:rPr>
          <w:rFonts w:ascii="Segoe UI Historic" w:hAnsi="Segoe UI Historic" w:cs="Segoe UI Historic"/>
          <w:sz w:val="20"/>
          <w:szCs w:val="20"/>
        </w:rPr>
        <w:t xml:space="preserve"> el área de enfoque puede ser medida en superficie de riego y cuantificada en hectáreas.</w:t>
      </w:r>
    </w:p>
    <w:p w:rsidR="00231157" w:rsidRPr="0016628A" w:rsidRDefault="00231157" w:rsidP="00231157">
      <w:pPr>
        <w:pStyle w:val="Prrafodelista"/>
        <w:numPr>
          <w:ilvl w:val="1"/>
          <w:numId w:val="5"/>
        </w:numPr>
        <w:spacing w:after="0" w:line="240" w:lineRule="auto"/>
        <w:ind w:left="1417" w:hanging="697"/>
        <w:jc w:val="both"/>
        <w:rPr>
          <w:rFonts w:ascii="Segoe UI Historic" w:hAnsi="Segoe UI Historic" w:cs="Segoe UI Historic"/>
          <w:sz w:val="20"/>
          <w:szCs w:val="20"/>
        </w:rPr>
      </w:pPr>
      <w:r w:rsidRPr="0016628A">
        <w:rPr>
          <w:rFonts w:ascii="Segoe UI Historic" w:hAnsi="Segoe UI Historic" w:cs="Segoe UI Historic"/>
          <w:sz w:val="20"/>
          <w:szCs w:val="20"/>
        </w:rPr>
        <w:t>Por otro lado, y en sentido contrario, el programa también busca garantizar que, en aquellas regiones donde el clima provoca inundaciones en los cultivos, los productores puedan drenarla y evitar pérdidas en sus cultivos, esto a través de obras y acciones de mantenimiento y conservación de la infraestructura hidroagrícola de drenaje y caminos.  En esta modalidad, los usuarios son personas morales (35 asociaciones civiles de usuarios) y el área de enfoque puede ser medida en superficie agrícola y cuantificada en hectáreas.</w:t>
      </w:r>
    </w:p>
    <w:p w:rsidR="00231157" w:rsidRPr="0016628A" w:rsidRDefault="00231157" w:rsidP="00231157">
      <w:pPr>
        <w:pStyle w:val="Prrafodelista"/>
        <w:numPr>
          <w:ilvl w:val="1"/>
          <w:numId w:val="5"/>
        </w:numPr>
        <w:spacing w:after="0" w:line="240" w:lineRule="auto"/>
        <w:ind w:left="1417" w:hanging="697"/>
        <w:jc w:val="both"/>
        <w:rPr>
          <w:rFonts w:ascii="Segoe UI Historic" w:hAnsi="Segoe UI Historic" w:cs="Segoe UI Historic"/>
          <w:sz w:val="20"/>
          <w:szCs w:val="20"/>
        </w:rPr>
      </w:pPr>
      <w:r w:rsidRPr="0016628A">
        <w:rPr>
          <w:rFonts w:ascii="Segoe UI Historic" w:hAnsi="Segoe UI Historic" w:cs="Segoe UI Historic"/>
          <w:sz w:val="20"/>
          <w:szCs w:val="20"/>
        </w:rPr>
        <w:t xml:space="preserve">También este programa interviene en la ampliación de las zonas de riego en aquellas regiones donde se requiera riego complementario.  En este caso los usuarios hidroagrícolas son personas físicas (308 usuarios agrícolas de zonas de temporal en los estados de Campeche, Chiapas, Guerrero, Nayarit, Oaxaca, Quinta Roo, San Luis Potosí, Tabasco, Tamaulipas, Veracruz y </w:t>
      </w:r>
      <w:proofErr w:type="gramStart"/>
      <w:r w:rsidRPr="0016628A">
        <w:rPr>
          <w:rFonts w:ascii="Segoe UI Historic" w:hAnsi="Segoe UI Historic" w:cs="Segoe UI Historic"/>
          <w:sz w:val="20"/>
          <w:szCs w:val="20"/>
        </w:rPr>
        <w:t>Yucatán)  y</w:t>
      </w:r>
      <w:proofErr w:type="gramEnd"/>
      <w:r w:rsidRPr="0016628A">
        <w:rPr>
          <w:rFonts w:ascii="Segoe UI Historic" w:hAnsi="Segoe UI Historic" w:cs="Segoe UI Historic"/>
          <w:sz w:val="20"/>
          <w:szCs w:val="20"/>
        </w:rPr>
        <w:t xml:space="preserve"> el área de enfoque puede ser cuantificada en superficie susceptible de ser incorporada. </w:t>
      </w:r>
    </w:p>
    <w:p w:rsidR="00231157" w:rsidRPr="0016628A" w:rsidRDefault="00231157" w:rsidP="00231157">
      <w:pPr>
        <w:ind w:left="1416"/>
        <w:contextualSpacing/>
        <w:jc w:val="both"/>
        <w:rPr>
          <w:rFonts w:ascii="Segoe UI Historic" w:hAnsi="Segoe UI Historic" w:cs="Segoe UI Historic"/>
          <w:sz w:val="20"/>
          <w:szCs w:val="20"/>
        </w:rPr>
      </w:pPr>
      <w:r w:rsidRPr="0016628A">
        <w:rPr>
          <w:rFonts w:ascii="Segoe UI Historic" w:hAnsi="Segoe UI Historic" w:cs="Segoe UI Historic"/>
          <w:sz w:val="20"/>
          <w:szCs w:val="20"/>
        </w:rPr>
        <w:t xml:space="preserve">En este componente se ha identificado una total coincidencia con el programa K141 Infraestructura para la modernización y rehabilitación de riego y temporal </w:t>
      </w:r>
      <w:proofErr w:type="gramStart"/>
      <w:r w:rsidRPr="0016628A">
        <w:rPr>
          <w:rFonts w:ascii="Segoe UI Historic" w:hAnsi="Segoe UI Historic" w:cs="Segoe UI Historic"/>
          <w:sz w:val="20"/>
          <w:szCs w:val="20"/>
        </w:rPr>
        <w:t>tecnificado,  ya</w:t>
      </w:r>
      <w:proofErr w:type="gramEnd"/>
      <w:r w:rsidRPr="0016628A">
        <w:rPr>
          <w:rFonts w:ascii="Segoe UI Historic" w:hAnsi="Segoe UI Historic" w:cs="Segoe UI Historic"/>
          <w:sz w:val="20"/>
          <w:szCs w:val="20"/>
        </w:rPr>
        <w:t xml:space="preserve"> que con este programa se comparte el indicador de fin. Son coincidentes ya que ambas, en uno de sus componentes incorporan superficies al riego suplementario. La diferencia es que el programa K es de ejecución directa por la CONAGUA y el S es ejecutado por los beneficiarios. Sin embargo, en ambos casos el objetivo es incorporar superficies al riego suplementario.  Conviene una revisión de tipo programático-administrativo para evitar esas duplicidades.</w:t>
      </w:r>
    </w:p>
    <w:p w:rsidR="00231157" w:rsidRPr="0016628A" w:rsidRDefault="00231157" w:rsidP="00231157">
      <w:pPr>
        <w:pStyle w:val="Prrafodelista"/>
        <w:numPr>
          <w:ilvl w:val="1"/>
          <w:numId w:val="5"/>
        </w:numPr>
        <w:spacing w:after="0" w:line="240" w:lineRule="auto"/>
        <w:ind w:left="1416" w:hanging="696"/>
        <w:jc w:val="both"/>
        <w:rPr>
          <w:rFonts w:ascii="Segoe UI Historic" w:hAnsi="Segoe UI Historic" w:cs="Segoe UI Historic"/>
          <w:sz w:val="20"/>
          <w:szCs w:val="20"/>
        </w:rPr>
      </w:pPr>
      <w:r w:rsidRPr="0016628A">
        <w:rPr>
          <w:rFonts w:ascii="Segoe UI Historic" w:hAnsi="Segoe UI Historic" w:cs="Segoe UI Historic"/>
          <w:sz w:val="20"/>
          <w:szCs w:val="20"/>
        </w:rPr>
        <w:t xml:space="preserve">Y, por último, el programa que otorga apoyos especiales para la atención de eventualidades que pudieran poner en riesgo a la operación de la infraestructura hidroagrícola. Este componente anteriormente era un programa U, que son subsidios sin reglas de operación. El equipo evaluador encuentra que la incorporación de este </w:t>
      </w:r>
      <w:r w:rsidRPr="0016628A">
        <w:rPr>
          <w:rFonts w:ascii="Segoe UI Historic" w:hAnsi="Segoe UI Historic" w:cs="Segoe UI Historic"/>
          <w:sz w:val="20"/>
          <w:szCs w:val="20"/>
        </w:rPr>
        <w:lastRenderedPageBreak/>
        <w:t>componente al actual programa S217 carece de relación en cuanto al problema que atiende el programa, la población a quien va dirigido, y los resultados que se esperan. Ya que responde a necesidades y compromisos creados en el pasado ante situaciones de emergencia en el sector hidroagrícola, pero que no se relacionan directamente con el área de oportunidad de mejorar los rendimientos de los productores agrícolas. Los indicadores de este componente no aportan al logro de los objetivos de propósito o fin. Por lo que este componente no debería formar parte del programa S217.</w:t>
      </w:r>
    </w:p>
    <w:p w:rsidR="00231157" w:rsidRPr="0016628A" w:rsidRDefault="00231157" w:rsidP="00231157">
      <w:pPr>
        <w:pStyle w:val="Prrafodelista"/>
        <w:numPr>
          <w:ilvl w:val="0"/>
          <w:numId w:val="5"/>
        </w:numPr>
        <w:spacing w:after="0" w:line="240" w:lineRule="auto"/>
        <w:ind w:left="708" w:hanging="708"/>
        <w:jc w:val="both"/>
        <w:rPr>
          <w:rFonts w:ascii="Segoe UI Historic" w:hAnsi="Segoe UI Historic" w:cs="Segoe UI Historic"/>
          <w:sz w:val="20"/>
          <w:szCs w:val="20"/>
        </w:rPr>
      </w:pPr>
      <w:r w:rsidRPr="0016628A">
        <w:rPr>
          <w:rFonts w:ascii="Segoe UI Historic" w:hAnsi="Segoe UI Historic" w:cs="Segoe UI Historic"/>
          <w:sz w:val="20"/>
          <w:szCs w:val="20"/>
        </w:rPr>
        <w:t>No se tiene una estrategia de cobertura y focalización de los recursos, se opera a la demanda.</w:t>
      </w:r>
    </w:p>
    <w:p w:rsidR="00231157" w:rsidRPr="006C7524" w:rsidRDefault="00231157" w:rsidP="00231157">
      <w:pPr>
        <w:pStyle w:val="Prrafodelista"/>
        <w:numPr>
          <w:ilvl w:val="0"/>
          <w:numId w:val="5"/>
        </w:numPr>
        <w:spacing w:after="0" w:line="240" w:lineRule="auto"/>
        <w:ind w:left="708" w:hanging="708"/>
        <w:jc w:val="both"/>
        <w:rPr>
          <w:rFonts w:ascii="Segoe UI Historic" w:hAnsi="Segoe UI Historic" w:cs="Segoe UI Historic"/>
          <w:sz w:val="20"/>
          <w:szCs w:val="20"/>
        </w:rPr>
      </w:pPr>
      <w:r w:rsidRPr="0016628A">
        <w:rPr>
          <w:rFonts w:ascii="Segoe UI Historic" w:hAnsi="Segoe UI Historic" w:cs="Segoe UI Historic"/>
          <w:sz w:val="20"/>
          <w:szCs w:val="20"/>
        </w:rPr>
        <w:t>Dentro de los esquemas operativos del programa, aparece la necesidad de revisar el sesgo a</w:t>
      </w:r>
      <w:r w:rsidRPr="006C7524">
        <w:rPr>
          <w:rFonts w:ascii="Segoe UI Historic" w:hAnsi="Segoe UI Historic" w:cs="Segoe UI Historic"/>
          <w:sz w:val="20"/>
          <w:szCs w:val="20"/>
        </w:rPr>
        <w:t xml:space="preserve"> favor de los grandes y medianos productores, que cumplen con los requisitos establecidos en las reglas de operación, que si bien mantienen la producción y productividad en el país, deben buscarse mecanismos para revertir la tendencia a agudizar la desigualdad en el medio rural.</w:t>
      </w:r>
    </w:p>
    <w:p w:rsidR="00231157" w:rsidRPr="006C7524" w:rsidRDefault="00231157" w:rsidP="00231157">
      <w:pPr>
        <w:pStyle w:val="Prrafodelista"/>
        <w:numPr>
          <w:ilvl w:val="0"/>
          <w:numId w:val="4"/>
        </w:numPr>
        <w:spacing w:after="0" w:line="240" w:lineRule="auto"/>
        <w:ind w:left="708" w:hanging="708"/>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En cuanto a la consistencia del programa, los componentes que lo integran, por su construcción, no responden a una fusión, resultan más como un agregado de los anteriores programas, sin una adecuada vinculación entre sí para resolver una problemática común, lo que le resta consistencia al programa. Tanto los ejecutores como los productores, están familiarizados con la operación del programa; los manuales de operación son los mismos que se han tenido por más de una década, con algunas adecuaciones, al igual que las Reglas de Operación. Esto, que representa una ventaja para la operación del programa también se convierte en una debilidad, ya que el programa opera inercialmente. </w:t>
      </w:r>
    </w:p>
    <w:p w:rsidR="00231157" w:rsidRPr="006C7524" w:rsidRDefault="00231157" w:rsidP="00231157">
      <w:pPr>
        <w:pStyle w:val="Prrafodelista"/>
        <w:numPr>
          <w:ilvl w:val="0"/>
          <w:numId w:val="4"/>
        </w:numPr>
        <w:spacing w:after="0" w:line="240" w:lineRule="auto"/>
        <w:ind w:left="708" w:hanging="708"/>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A pesar de que el programa cuenta con todos los elementos dictados por el Sistema de Evaluación del Desempeño, tales como Matriz de Indicadores para Resultados, seguimiento de los avances de sus indicadores, evaluaciones y seguimiento de los aspectos susceptibles de mejora, el programa no está orientado a resultados. Cuando se busca encontrar y valorar los resultados que ha tenido, se encuentra que no hay metas retadoras, que los indicadores que deben ser estratégicos son de gestión, por lo que es necesario incorporar indicadores de resultados a la Matriz de Indicadores para Resultados. </w:t>
      </w:r>
    </w:p>
    <w:p w:rsidR="00231157" w:rsidRPr="006C7524" w:rsidRDefault="00231157" w:rsidP="00231157">
      <w:pPr>
        <w:pStyle w:val="Prrafodelista"/>
        <w:numPr>
          <w:ilvl w:val="0"/>
          <w:numId w:val="4"/>
        </w:numPr>
        <w:spacing w:after="0" w:line="240" w:lineRule="auto"/>
        <w:ind w:left="708" w:hanging="708"/>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Uno de los principales factores que se manifiesta reiteradamente, es que ante las continuas y divergentes revisiones y auditorías que recibe el programa, y con la intención de cumplir con las observaciones, recomendaciones y sugerencias, los ejecutores enfrentan el reto de incorporar esas opiniones al diseño del programa. </w:t>
      </w:r>
    </w:p>
    <w:p w:rsidR="00231157" w:rsidRPr="006C7524" w:rsidRDefault="00231157" w:rsidP="00231157">
      <w:pPr>
        <w:pStyle w:val="Prrafodelista"/>
        <w:numPr>
          <w:ilvl w:val="0"/>
          <w:numId w:val="4"/>
        </w:numPr>
        <w:spacing w:after="0" w:line="240" w:lineRule="auto"/>
        <w:ind w:left="708" w:hanging="708"/>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El Programa, sin embargo, da resultados, que no es posible identificar o cuantificar con los actuales indicadores. Es un programa necesario para la actividad agrícola, y que en 2017 padeció de un severo recorte presupuestal, recibiendo este año alrededor del 50% de lo que ejerció en 2016.  Estudios realizados por organismos internacionales revelan que los niveles decrecientes de mantenimiento han llevado a que la infraestructura se deteriore y la distribución y entrega de agua se vuelva poco confiable.  </w:t>
      </w:r>
    </w:p>
    <w:p w:rsidR="00231157" w:rsidRDefault="00231157" w:rsidP="00231157">
      <w:pPr>
        <w:contextualSpacing/>
        <w:jc w:val="both"/>
        <w:rPr>
          <w:rFonts w:ascii="Segoe UI Historic" w:hAnsi="Segoe UI Historic" w:cs="Segoe UI Historic"/>
          <w:sz w:val="20"/>
          <w:szCs w:val="20"/>
        </w:rPr>
      </w:pPr>
    </w:p>
    <w:p w:rsidR="00231157" w:rsidRDefault="00231157" w:rsidP="00231157">
      <w:pPr>
        <w:contextualSpacing/>
        <w:jc w:val="both"/>
        <w:rPr>
          <w:rFonts w:ascii="Segoe UI Historic" w:hAnsi="Segoe UI Historic" w:cs="Segoe UI Historic"/>
          <w:sz w:val="20"/>
          <w:szCs w:val="20"/>
        </w:rPr>
      </w:pPr>
    </w:p>
    <w:p w:rsidR="00231157" w:rsidRPr="006C7524" w:rsidRDefault="00231157" w:rsidP="00231157">
      <w:pPr>
        <w:contextualSpacing/>
        <w:rPr>
          <w:rFonts w:ascii="Segoe UI Historic" w:hAnsi="Segoe UI Historic" w:cs="Segoe UI Historic"/>
          <w:sz w:val="20"/>
          <w:szCs w:val="20"/>
        </w:rPr>
      </w:pPr>
    </w:p>
    <w:p w:rsidR="00231157" w:rsidRDefault="00231157" w:rsidP="00231157">
      <w:pPr>
        <w:contextualSpacing/>
        <w:rPr>
          <w:rFonts w:ascii="Soberana Sans" w:hAnsi="Soberana Sans" w:cs="Segoe UI Historic"/>
          <w:b/>
          <w:szCs w:val="20"/>
        </w:rPr>
      </w:pPr>
      <w:r w:rsidRPr="0016628A">
        <w:rPr>
          <w:rFonts w:ascii="Soberana Sans" w:hAnsi="Soberana Sans" w:cs="Segoe UI Historic"/>
          <w:b/>
          <w:szCs w:val="20"/>
        </w:rPr>
        <w:t>Principales Recomendaciones</w:t>
      </w:r>
    </w:p>
    <w:p w:rsidR="00231157" w:rsidRPr="0016628A" w:rsidRDefault="00231157" w:rsidP="00231157">
      <w:pPr>
        <w:contextualSpacing/>
        <w:rPr>
          <w:rFonts w:ascii="Soberana Sans" w:hAnsi="Soberana Sans" w:cs="Segoe UI Historic"/>
          <w:b/>
          <w:szCs w:val="20"/>
        </w:rPr>
      </w:pPr>
    </w:p>
    <w:p w:rsidR="00231157" w:rsidRPr="006C7524" w:rsidRDefault="00231157" w:rsidP="00231157">
      <w:pPr>
        <w:autoSpaceDE w:val="0"/>
        <w:autoSpaceDN w:val="0"/>
        <w:adjustRightInd w:val="0"/>
        <w:contextualSpacing/>
        <w:rPr>
          <w:rFonts w:ascii="Segoe UI Historic" w:hAnsi="Segoe UI Historic" w:cs="Segoe UI Historic"/>
          <w:b/>
          <w:sz w:val="20"/>
          <w:szCs w:val="20"/>
        </w:rPr>
      </w:pPr>
      <w:r w:rsidRPr="006C7524">
        <w:rPr>
          <w:rFonts w:ascii="Segoe UI Historic" w:hAnsi="Segoe UI Historic" w:cs="Segoe UI Historic"/>
          <w:b/>
          <w:sz w:val="20"/>
          <w:szCs w:val="20"/>
        </w:rPr>
        <w:t>DISEÑO</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Revisar la definición del problema o necesidad que atiende el programa, presentarlo como una situación negativa o que puede ser revertida y no como la falta de </w:t>
      </w:r>
      <w:r w:rsidRPr="006C7524">
        <w:rPr>
          <w:rFonts w:ascii="Segoe UI Historic" w:hAnsi="Segoe UI Historic" w:cs="Segoe UI Historic"/>
          <w:sz w:val="20"/>
          <w:szCs w:val="20"/>
        </w:rPr>
        <w:lastRenderedPageBreak/>
        <w:t>solución/ausencia/carencia de algo; que incluya la población o área de enfoque que tiene ese problema o necesidad, así como su magnitud.</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Actualizar el documento de diagnóstico del problema que atiende el programa, haciendo un especial énfasis en que incluya: 1) Los resultados del análisis sobre las causas, efectos y características del problema o necesidad que se requiere resolver, bajo un enfoque de política; y 2) La identificación, caracterización, cuantificación y ubicación de la población o área de enfoque que presenta el problema.</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Revisar la definición de la población o área de enfoque, las características que presentan respecto de la problemática o necesidad que atiende el programa, así como la magnitud del problema que presentan, con base en una metodología de medición del deterioro de la infraestructura hidroagrícola.</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Agregar información al Padrón de Beneficiarios para conocer a las y los usuarios que reciben los beneficios directos y que están agrupados dentro de las personas morales que reciben recursos para obras y acciones realizadas, así como la magnitud del apoyo en términos de resultados obtenidos.</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Mantener juntos en el programa los componentes relacionados con la rehabilitación, modernización, tecnificación y equipamiento de las Unidades y Distritos de Riego y Temporal Tecnificado; unificar el componente de Infraestructura de Riego Suplementario en Zonas de Temporal con el componente similar que tiene el programa K141 o en su caso, justificar la conveniencia de mantener ambas modalidades; y finalmente separar de este programa la componente de apoyos especiales.</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Incorporar en las fichas técnicas: las metas sexenales y las intermedias del sexenio faltantes, si en algún caso no fuera esto posible, dar una justificación de las razones. Se recomienda que la definición del indicador sea preciso en cuanto a lo que pretende medir del objetivo al que está asociado; la definición del indicador debe ayudar a entender su utilidad, finalidad o uso del mismo.</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Profundizar en el análisis de la definición, magnitud y composición de la problemática o necesidad que busca atenderse con el programa, y así tener mayores elementos para la definición de las metas.</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Revisar que las fichas técnicas cuenten con información actualizada para la línea base del indicador seleccionado ya que de no contar con ese punto de partida no es posible monitorear el avance del indicador. Poner atención que los umbrales correspondan a la unidad de medida y rangos del indicador.</w:t>
      </w:r>
    </w:p>
    <w:p w:rsidR="00231157" w:rsidRDefault="00231157" w:rsidP="00231157">
      <w:pPr>
        <w:contextualSpacing/>
        <w:jc w:val="both"/>
        <w:rPr>
          <w:rFonts w:ascii="Segoe UI Historic" w:hAnsi="Segoe UI Historic" w:cs="Segoe UI Historic"/>
          <w:b/>
          <w:sz w:val="20"/>
          <w:szCs w:val="20"/>
        </w:rPr>
      </w:pPr>
    </w:p>
    <w:p w:rsidR="00231157" w:rsidRDefault="00231157" w:rsidP="00231157">
      <w:pPr>
        <w:contextualSpacing/>
        <w:jc w:val="both"/>
        <w:rPr>
          <w:rFonts w:ascii="Segoe UI Historic" w:hAnsi="Segoe UI Historic" w:cs="Segoe UI Historic"/>
          <w:b/>
          <w:sz w:val="20"/>
          <w:szCs w:val="20"/>
        </w:rPr>
      </w:pPr>
      <w:r w:rsidRPr="006C7524">
        <w:rPr>
          <w:rFonts w:ascii="Segoe UI Historic" w:hAnsi="Segoe UI Historic" w:cs="Segoe UI Historic"/>
          <w:b/>
          <w:sz w:val="20"/>
          <w:szCs w:val="20"/>
        </w:rPr>
        <w:t>PLANEACIÓN Y ORIENTACIÓN A RESULTADOS</w:t>
      </w:r>
    </w:p>
    <w:p w:rsidR="00231157" w:rsidRPr="006C7524" w:rsidRDefault="00231157" w:rsidP="00231157">
      <w:pPr>
        <w:contextualSpacing/>
        <w:jc w:val="both"/>
        <w:rPr>
          <w:rFonts w:ascii="Segoe UI Historic" w:hAnsi="Segoe UI Historic" w:cs="Segoe UI Historic"/>
          <w:b/>
          <w:sz w:val="20"/>
          <w:szCs w:val="20"/>
        </w:rPr>
      </w:pP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Desarrollar un plan estratégico como resultado de ejercicios de planeación institucionalizados que deberán guardar armonía con los demás programas presupuestarios de la CONAGUA que atienden la problemática del sector hidroagrícola buscando optimizar los esfuerzos para el logro de los objetivos institucionales, sectoriales y nacionales en este ámbito. Se recomienda realizarlo con una visión a </w:t>
      </w:r>
      <w:proofErr w:type="spellStart"/>
      <w:r w:rsidRPr="006C7524">
        <w:rPr>
          <w:rFonts w:ascii="Segoe UI Historic" w:hAnsi="Segoe UI Historic" w:cs="Segoe UI Historic"/>
          <w:sz w:val="20"/>
          <w:szCs w:val="20"/>
        </w:rPr>
        <w:t>a</w:t>
      </w:r>
      <w:proofErr w:type="spellEnd"/>
      <w:r w:rsidRPr="006C7524">
        <w:rPr>
          <w:rFonts w:ascii="Segoe UI Historic" w:hAnsi="Segoe UI Historic" w:cs="Segoe UI Historic"/>
          <w:sz w:val="20"/>
          <w:szCs w:val="20"/>
        </w:rPr>
        <w:t xml:space="preserve"> largo plazo y </w:t>
      </w:r>
      <w:proofErr w:type="spellStart"/>
      <w:r w:rsidRPr="006C7524">
        <w:rPr>
          <w:rFonts w:ascii="Segoe UI Historic" w:hAnsi="Segoe UI Historic" w:cs="Segoe UI Historic"/>
          <w:sz w:val="20"/>
          <w:szCs w:val="20"/>
        </w:rPr>
        <w:t>y</w:t>
      </w:r>
      <w:proofErr w:type="spellEnd"/>
      <w:r w:rsidRPr="006C7524">
        <w:rPr>
          <w:rFonts w:ascii="Segoe UI Historic" w:hAnsi="Segoe UI Historic" w:cs="Segoe UI Historic"/>
          <w:sz w:val="20"/>
          <w:szCs w:val="20"/>
        </w:rPr>
        <w:t xml:space="preserve"> en alineación con los Objetivos de Desarrollo Sostenible.</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Tomar en cuenta las recomendaciones de las evaluaciones previas y de la presente evaluación que van enfocadas a la mejora del diseño del programa, de revisión de la población potencial y objetivo así como tendientes a que se defina una estrategia de cobertura y focalización. </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Establecer un sistema de recolección de información homogéneo del programa, que incluya mecanismos de validación de la información.</w:t>
      </w:r>
    </w:p>
    <w:p w:rsidR="00231157" w:rsidRDefault="00231157" w:rsidP="00231157">
      <w:pPr>
        <w:contextualSpacing/>
        <w:jc w:val="both"/>
        <w:rPr>
          <w:rFonts w:ascii="Segoe UI Historic" w:hAnsi="Segoe UI Historic" w:cs="Segoe UI Historic"/>
          <w:b/>
          <w:sz w:val="20"/>
          <w:szCs w:val="20"/>
        </w:rPr>
      </w:pPr>
    </w:p>
    <w:p w:rsidR="00231157" w:rsidRPr="006C7524" w:rsidRDefault="00231157" w:rsidP="00231157">
      <w:pPr>
        <w:contextualSpacing/>
        <w:jc w:val="both"/>
        <w:rPr>
          <w:rFonts w:ascii="Segoe UI Historic" w:hAnsi="Segoe UI Historic" w:cs="Segoe UI Historic"/>
          <w:b/>
          <w:sz w:val="20"/>
          <w:szCs w:val="20"/>
        </w:rPr>
      </w:pPr>
      <w:r w:rsidRPr="006C7524">
        <w:rPr>
          <w:rFonts w:ascii="Segoe UI Historic" w:hAnsi="Segoe UI Historic" w:cs="Segoe UI Historic"/>
          <w:b/>
          <w:sz w:val="20"/>
          <w:szCs w:val="20"/>
        </w:rPr>
        <w:lastRenderedPageBreak/>
        <w:t>COBERTURA Y FOCALIZACIÓN</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Diseñar una estrategia de cobertura basada en información sobre las características, ubicación y dimensión de la problemática que atiende el Programa S217. Dicha estrategia de cobertura deberá ser de mediano plazo, estableciendo plazos para su revisión.</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Revisar la definición, identificación y cuantificación de la población potencial y objetivo, con base en una metodología, así como el diseño de un mecanismo que permita identificar a su población objetivo.</w:t>
      </w:r>
    </w:p>
    <w:p w:rsidR="00231157" w:rsidRDefault="00231157" w:rsidP="00231157">
      <w:pPr>
        <w:contextualSpacing/>
        <w:jc w:val="both"/>
        <w:rPr>
          <w:rFonts w:ascii="Segoe UI Historic" w:hAnsi="Segoe UI Historic" w:cs="Segoe UI Historic"/>
          <w:b/>
          <w:sz w:val="20"/>
          <w:szCs w:val="20"/>
        </w:rPr>
      </w:pPr>
    </w:p>
    <w:p w:rsidR="00231157" w:rsidRDefault="00231157" w:rsidP="00231157">
      <w:pPr>
        <w:contextualSpacing/>
        <w:jc w:val="both"/>
        <w:rPr>
          <w:rFonts w:ascii="Segoe UI Historic" w:hAnsi="Segoe UI Historic" w:cs="Segoe UI Historic"/>
          <w:b/>
          <w:sz w:val="20"/>
          <w:szCs w:val="20"/>
        </w:rPr>
      </w:pPr>
      <w:r w:rsidRPr="006C7524">
        <w:rPr>
          <w:rFonts w:ascii="Segoe UI Historic" w:hAnsi="Segoe UI Historic" w:cs="Segoe UI Historic"/>
          <w:b/>
          <w:sz w:val="20"/>
          <w:szCs w:val="20"/>
        </w:rPr>
        <w:t>OPERACIÓN</w:t>
      </w:r>
    </w:p>
    <w:p w:rsidR="00231157" w:rsidRPr="006C7524" w:rsidRDefault="00231157" w:rsidP="00231157">
      <w:pPr>
        <w:contextualSpacing/>
        <w:jc w:val="both"/>
        <w:rPr>
          <w:rFonts w:ascii="Segoe UI Historic" w:hAnsi="Segoe UI Historic" w:cs="Segoe UI Historic"/>
          <w:b/>
          <w:sz w:val="20"/>
          <w:szCs w:val="20"/>
        </w:rPr>
      </w:pP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Desagregar los diagramas por sus principales procesos:</w:t>
      </w:r>
    </w:p>
    <w:p w:rsidR="00231157" w:rsidRPr="006C7524" w:rsidRDefault="00231157" w:rsidP="00231157">
      <w:pPr>
        <w:pStyle w:val="Prrafodelista"/>
        <w:numPr>
          <w:ilvl w:val="1"/>
          <w:numId w:val="1"/>
        </w:numPr>
        <w:autoSpaceDE w:val="0"/>
        <w:autoSpaceDN w:val="0"/>
        <w:adjustRightInd w:val="0"/>
        <w:spacing w:after="0" w:line="240" w:lineRule="auto"/>
        <w:ind w:left="1434" w:hanging="357"/>
        <w:jc w:val="both"/>
        <w:rPr>
          <w:rFonts w:ascii="Segoe UI Historic" w:hAnsi="Segoe UI Historic" w:cs="Segoe UI Historic"/>
          <w:sz w:val="20"/>
          <w:szCs w:val="20"/>
        </w:rPr>
      </w:pPr>
      <w:r w:rsidRPr="006C7524">
        <w:rPr>
          <w:rFonts w:ascii="Segoe UI Historic" w:hAnsi="Segoe UI Historic" w:cs="Segoe UI Historic"/>
          <w:sz w:val="20"/>
          <w:szCs w:val="20"/>
        </w:rPr>
        <w:t>Proceso presupuestal</w:t>
      </w:r>
    </w:p>
    <w:p w:rsidR="00231157" w:rsidRPr="006C7524" w:rsidRDefault="00231157" w:rsidP="00231157">
      <w:pPr>
        <w:pStyle w:val="Prrafodelista"/>
        <w:numPr>
          <w:ilvl w:val="1"/>
          <w:numId w:val="1"/>
        </w:numPr>
        <w:autoSpaceDE w:val="0"/>
        <w:autoSpaceDN w:val="0"/>
        <w:adjustRightInd w:val="0"/>
        <w:spacing w:after="0" w:line="240" w:lineRule="auto"/>
        <w:ind w:left="1434" w:hanging="357"/>
        <w:jc w:val="both"/>
        <w:rPr>
          <w:rFonts w:ascii="Segoe UI Historic" w:hAnsi="Segoe UI Historic" w:cs="Segoe UI Historic"/>
          <w:sz w:val="20"/>
          <w:szCs w:val="20"/>
        </w:rPr>
      </w:pPr>
      <w:r w:rsidRPr="006C7524">
        <w:rPr>
          <w:rFonts w:ascii="Segoe UI Historic" w:hAnsi="Segoe UI Historic" w:cs="Segoe UI Historic"/>
          <w:sz w:val="20"/>
          <w:szCs w:val="20"/>
        </w:rPr>
        <w:t>Proceso de solicitud de apoyos al programa</w:t>
      </w:r>
    </w:p>
    <w:p w:rsidR="00231157" w:rsidRPr="006C7524" w:rsidRDefault="00231157" w:rsidP="00231157">
      <w:pPr>
        <w:pStyle w:val="Prrafodelista"/>
        <w:numPr>
          <w:ilvl w:val="1"/>
          <w:numId w:val="1"/>
        </w:numPr>
        <w:autoSpaceDE w:val="0"/>
        <w:autoSpaceDN w:val="0"/>
        <w:adjustRightInd w:val="0"/>
        <w:spacing w:after="0" w:line="240" w:lineRule="auto"/>
        <w:ind w:left="1434" w:hanging="357"/>
        <w:jc w:val="both"/>
        <w:rPr>
          <w:rFonts w:ascii="Segoe UI Historic" w:hAnsi="Segoe UI Historic" w:cs="Segoe UI Historic"/>
          <w:sz w:val="20"/>
          <w:szCs w:val="20"/>
        </w:rPr>
      </w:pPr>
      <w:r w:rsidRPr="006C7524">
        <w:rPr>
          <w:rFonts w:ascii="Segoe UI Historic" w:hAnsi="Segoe UI Historic" w:cs="Segoe UI Historic"/>
          <w:sz w:val="20"/>
          <w:szCs w:val="20"/>
        </w:rPr>
        <w:t>Proceso de ejecución de las obras y acciones hasta el cierre</w:t>
      </w:r>
    </w:p>
    <w:p w:rsidR="00231157" w:rsidRPr="006C7524" w:rsidRDefault="00231157" w:rsidP="00231157">
      <w:pPr>
        <w:pStyle w:val="Prrafodelista"/>
        <w:numPr>
          <w:ilvl w:val="1"/>
          <w:numId w:val="1"/>
        </w:numPr>
        <w:autoSpaceDE w:val="0"/>
        <w:autoSpaceDN w:val="0"/>
        <w:adjustRightInd w:val="0"/>
        <w:spacing w:after="0" w:line="240" w:lineRule="auto"/>
        <w:ind w:left="1434" w:hanging="357"/>
        <w:jc w:val="both"/>
        <w:rPr>
          <w:rFonts w:ascii="Segoe UI Historic" w:hAnsi="Segoe UI Historic" w:cs="Segoe UI Historic"/>
          <w:sz w:val="20"/>
          <w:szCs w:val="20"/>
        </w:rPr>
      </w:pPr>
      <w:r w:rsidRPr="006C7524">
        <w:rPr>
          <w:rFonts w:ascii="Segoe UI Historic" w:hAnsi="Segoe UI Historic" w:cs="Segoe UI Historic"/>
          <w:sz w:val="20"/>
          <w:szCs w:val="20"/>
        </w:rPr>
        <w:t>Proceso de trámite de pago</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Valorar operativamente la pertinencia de unificar los registros, incluso de registrarlos en una plataforma informática única.</w:t>
      </w: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Valorar la conveniencia de contar con un mecanismo para verificar el procedimiento para recibir, registrar y dar trámite a las solicitudes de apoyo; el procedimiento de selección de beneficiarios y/o proyectos; y para verificar el proceso de entrega de apoyo a los beneficiarios.</w:t>
      </w:r>
    </w:p>
    <w:p w:rsidR="00231157"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Analizar la conveniencia de contar con una plataforma única para el registro de las solicitudes de todas las componentes del Programa, así como para su seguimiento y generación de información.</w:t>
      </w:r>
    </w:p>
    <w:p w:rsidR="00231157" w:rsidRPr="006C7524" w:rsidRDefault="00231157" w:rsidP="00231157">
      <w:pPr>
        <w:pStyle w:val="Prrafodelista"/>
        <w:autoSpaceDE w:val="0"/>
        <w:autoSpaceDN w:val="0"/>
        <w:adjustRightInd w:val="0"/>
        <w:spacing w:after="0" w:line="240" w:lineRule="auto"/>
        <w:ind w:left="714"/>
        <w:jc w:val="both"/>
        <w:rPr>
          <w:rFonts w:ascii="Segoe UI Historic" w:hAnsi="Segoe UI Historic" w:cs="Segoe UI Historic"/>
          <w:sz w:val="20"/>
          <w:szCs w:val="20"/>
        </w:rPr>
      </w:pPr>
    </w:p>
    <w:p w:rsidR="00231157" w:rsidRDefault="00231157" w:rsidP="00231157">
      <w:pPr>
        <w:autoSpaceDE w:val="0"/>
        <w:autoSpaceDN w:val="0"/>
        <w:adjustRightInd w:val="0"/>
        <w:contextualSpacing/>
        <w:jc w:val="both"/>
        <w:rPr>
          <w:rFonts w:ascii="Segoe UI Historic" w:hAnsi="Segoe UI Historic" w:cs="Segoe UI Historic"/>
          <w:b/>
          <w:sz w:val="20"/>
          <w:szCs w:val="20"/>
        </w:rPr>
      </w:pPr>
      <w:r w:rsidRPr="006C7524">
        <w:rPr>
          <w:rFonts w:ascii="Segoe UI Historic" w:hAnsi="Segoe UI Historic" w:cs="Segoe UI Historic"/>
          <w:b/>
          <w:sz w:val="20"/>
          <w:szCs w:val="20"/>
        </w:rPr>
        <w:t>PERCEPCIÓN DE LA POBLACIÓN ATENDIDA</w:t>
      </w:r>
    </w:p>
    <w:p w:rsidR="00231157" w:rsidRPr="006C7524" w:rsidRDefault="00231157" w:rsidP="00231157">
      <w:pPr>
        <w:autoSpaceDE w:val="0"/>
        <w:autoSpaceDN w:val="0"/>
        <w:adjustRightInd w:val="0"/>
        <w:contextualSpacing/>
        <w:jc w:val="both"/>
        <w:rPr>
          <w:rFonts w:ascii="Segoe UI Historic" w:hAnsi="Segoe UI Historic" w:cs="Segoe UI Historic"/>
          <w:b/>
          <w:sz w:val="20"/>
          <w:szCs w:val="20"/>
        </w:rPr>
      </w:pP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Implementar una encuesta de satisfacción de la población atendida, enfocada hacia temas como son los procesos que les afectan directamente (solicitud de apoyos, entrega de los apoyos, información comprobatoria), con la finalidad de transformar esas opiniones en aspectos de mejora del programa.</w:t>
      </w:r>
    </w:p>
    <w:p w:rsidR="00231157" w:rsidRDefault="00231157" w:rsidP="00231157">
      <w:pPr>
        <w:contextualSpacing/>
        <w:jc w:val="both"/>
        <w:rPr>
          <w:rFonts w:ascii="Segoe UI Historic" w:hAnsi="Segoe UI Historic" w:cs="Segoe UI Historic"/>
          <w:b/>
          <w:sz w:val="20"/>
          <w:szCs w:val="20"/>
        </w:rPr>
      </w:pPr>
    </w:p>
    <w:p w:rsidR="00231157" w:rsidRDefault="00231157" w:rsidP="00231157">
      <w:pPr>
        <w:contextualSpacing/>
        <w:jc w:val="both"/>
        <w:rPr>
          <w:rFonts w:ascii="Segoe UI Historic" w:hAnsi="Segoe UI Historic" w:cs="Segoe UI Historic"/>
          <w:b/>
          <w:sz w:val="20"/>
          <w:szCs w:val="20"/>
        </w:rPr>
      </w:pPr>
      <w:r w:rsidRPr="006C7524">
        <w:rPr>
          <w:rFonts w:ascii="Segoe UI Historic" w:hAnsi="Segoe UI Historic" w:cs="Segoe UI Historic"/>
          <w:b/>
          <w:sz w:val="20"/>
          <w:szCs w:val="20"/>
        </w:rPr>
        <w:t>MEDICIÓN DE RESULTADOS</w:t>
      </w:r>
    </w:p>
    <w:p w:rsidR="00231157" w:rsidRPr="006C7524" w:rsidRDefault="00231157" w:rsidP="00231157">
      <w:pPr>
        <w:contextualSpacing/>
        <w:jc w:val="both"/>
        <w:rPr>
          <w:rFonts w:ascii="Segoe UI Historic" w:hAnsi="Segoe UI Historic" w:cs="Segoe UI Historic"/>
          <w:b/>
          <w:sz w:val="20"/>
          <w:szCs w:val="20"/>
        </w:rPr>
      </w:pPr>
    </w:p>
    <w:p w:rsidR="00231157" w:rsidRPr="006C7524"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Diseñar un indicador para el fin que refleje los resultados del programa de forma integral, pudiendo ser en función de la productividad del agua de toda la superficie con infraestructura hidroagrícola, o la producción agrícola.</w:t>
      </w:r>
    </w:p>
    <w:p w:rsidR="00231157" w:rsidRDefault="00231157" w:rsidP="00231157">
      <w:pPr>
        <w:pStyle w:val="Prrafodelista"/>
        <w:numPr>
          <w:ilvl w:val="0"/>
          <w:numId w:val="1"/>
        </w:numPr>
        <w:autoSpaceDE w:val="0"/>
        <w:autoSpaceDN w:val="0"/>
        <w:adjustRightInd w:val="0"/>
        <w:spacing w:after="0" w:line="240" w:lineRule="auto"/>
        <w:ind w:left="714" w:hanging="357"/>
        <w:jc w:val="both"/>
        <w:rPr>
          <w:rFonts w:ascii="Segoe UI Historic" w:hAnsi="Segoe UI Historic" w:cs="Segoe UI Historic"/>
          <w:sz w:val="20"/>
          <w:szCs w:val="20"/>
        </w:rPr>
      </w:pPr>
      <w:r w:rsidRPr="006C7524">
        <w:rPr>
          <w:rFonts w:ascii="Segoe UI Historic" w:hAnsi="Segoe UI Historic" w:cs="Segoe UI Historic"/>
          <w:sz w:val="20"/>
          <w:szCs w:val="20"/>
        </w:rPr>
        <w:t>Utilizar indicadores que midan los efectos sobre la problemática por las acciones realizadas con el programa, por ejemplo porcentaje de reducción de la superficie con infraestructura hidroagrícola con problemas de deterioro.</w:t>
      </w:r>
    </w:p>
    <w:p w:rsidR="00231157" w:rsidRPr="006C7524" w:rsidRDefault="00231157" w:rsidP="00231157">
      <w:pPr>
        <w:pStyle w:val="Prrafodelista"/>
        <w:autoSpaceDE w:val="0"/>
        <w:autoSpaceDN w:val="0"/>
        <w:adjustRightInd w:val="0"/>
        <w:spacing w:after="0" w:line="240" w:lineRule="auto"/>
        <w:ind w:left="714"/>
        <w:jc w:val="both"/>
        <w:rPr>
          <w:rFonts w:ascii="Segoe UI Historic" w:hAnsi="Segoe UI Historic" w:cs="Segoe UI Historic"/>
          <w:sz w:val="20"/>
          <w:szCs w:val="20"/>
        </w:rPr>
      </w:pPr>
    </w:p>
    <w:p w:rsidR="00231157" w:rsidRDefault="00231157" w:rsidP="00231157">
      <w:pPr>
        <w:contextualSpacing/>
        <w:jc w:val="both"/>
        <w:rPr>
          <w:rFonts w:ascii="Soberana Sans" w:hAnsi="Soberana Sans" w:cs="Segoe UI Historic"/>
          <w:b/>
          <w:szCs w:val="20"/>
        </w:rPr>
      </w:pPr>
      <w:r w:rsidRPr="0016628A">
        <w:rPr>
          <w:rFonts w:ascii="Soberana Sans" w:hAnsi="Soberana Sans" w:cs="Segoe UI Historic"/>
          <w:b/>
          <w:szCs w:val="20"/>
        </w:rPr>
        <w:t>Opinión</w:t>
      </w:r>
    </w:p>
    <w:p w:rsidR="00231157" w:rsidRPr="0016628A" w:rsidRDefault="00231157" w:rsidP="00231157">
      <w:pPr>
        <w:contextualSpacing/>
        <w:jc w:val="both"/>
        <w:rPr>
          <w:rFonts w:ascii="Soberana Sans" w:hAnsi="Soberana Sans" w:cs="Segoe UI Historic"/>
          <w:b/>
          <w:szCs w:val="20"/>
        </w:rPr>
      </w:pPr>
    </w:p>
    <w:p w:rsidR="00231157" w:rsidRDefault="00231157" w:rsidP="00231157">
      <w:pPr>
        <w:contextualSpacing/>
        <w:jc w:val="both"/>
        <w:rPr>
          <w:rFonts w:ascii="Segoe UI Historic" w:hAnsi="Segoe UI Historic" w:cs="Segoe UI Historic"/>
          <w:sz w:val="20"/>
          <w:szCs w:val="20"/>
        </w:rPr>
      </w:pPr>
      <w:r w:rsidRPr="006C7524">
        <w:rPr>
          <w:rFonts w:ascii="Segoe UI Historic" w:hAnsi="Segoe UI Historic" w:cs="Segoe UI Historic"/>
          <w:sz w:val="20"/>
          <w:szCs w:val="20"/>
        </w:rPr>
        <w:t xml:space="preserve">El Programa S217 es necesario para la sostenibilidad de la infraestructura hidroagrícola, que ha sido operado por muchos años bajo diferentes estructuras programáticas. En su diseño actual, se han concentrado los esfuerzos en alinearlo a los objetivos sectorial e institucional y a las metas nacionales, así como la búsqueda de una armonía entre componentes similares y divergentes, para el cumplimiento de las revisiones de los órganos normativos y de auditoría, considerando, en menor medida, la orientación hacia resultados. Los indicadores de fin y propósito se han limitado a </w:t>
      </w:r>
      <w:r w:rsidRPr="006C7524">
        <w:rPr>
          <w:rFonts w:ascii="Segoe UI Historic" w:hAnsi="Segoe UI Historic" w:cs="Segoe UI Historic"/>
          <w:sz w:val="20"/>
          <w:szCs w:val="20"/>
        </w:rPr>
        <w:lastRenderedPageBreak/>
        <w:t>indicadores de garantizado desempeño y no reflejan sus resultados.  Las principales áreas de oportunidad se encuentran en la definición y dimensión del problema, así como la identificación, definición y cuantificación de las poblaciones potencial y objetivo. Al no contar con una estrategia de cobertura y focalización, el programa continúa operando inercialmente, atendiendo a la demanda de recursos por parte de aquellos usuarios que cumplen los requisitos de elegibilidad del programa.</w:t>
      </w:r>
    </w:p>
    <w:p w:rsidR="00231157" w:rsidRDefault="00231157" w:rsidP="00231157">
      <w:pPr>
        <w:contextualSpacing/>
        <w:jc w:val="both"/>
        <w:rPr>
          <w:rFonts w:ascii="Segoe UI Historic" w:hAnsi="Segoe UI Historic" w:cs="Segoe UI Historic"/>
          <w:sz w:val="20"/>
          <w:szCs w:val="20"/>
        </w:rPr>
      </w:pPr>
    </w:p>
    <w:tbl>
      <w:tblPr>
        <w:tblStyle w:val="Cuadrculadetablaclara"/>
        <w:tblW w:w="9072" w:type="dxa"/>
        <w:tblLook w:val="04A0" w:firstRow="1" w:lastRow="0" w:firstColumn="1" w:lastColumn="0" w:noHBand="0" w:noVBand="1"/>
      </w:tblPr>
      <w:tblGrid>
        <w:gridCol w:w="1783"/>
        <w:gridCol w:w="1615"/>
        <w:gridCol w:w="5674"/>
      </w:tblGrid>
      <w:tr w:rsidR="00231157" w:rsidTr="005A1776">
        <w:tc>
          <w:tcPr>
            <w:tcW w:w="1783" w:type="dxa"/>
            <w:vMerge w:val="restart"/>
          </w:tcPr>
          <w:p w:rsidR="00231157" w:rsidRPr="001F3621" w:rsidRDefault="00231157" w:rsidP="005A1776">
            <w:pPr>
              <w:autoSpaceDE w:val="0"/>
              <w:autoSpaceDN w:val="0"/>
              <w:adjustRightInd w:val="0"/>
              <w:rPr>
                <w:rFonts w:ascii="Arial" w:hAnsi="Arial" w:cs="Arial"/>
                <w:i/>
                <w:sz w:val="20"/>
                <w:szCs w:val="20"/>
                <w:lang w:val="es-MX"/>
              </w:rPr>
            </w:pPr>
            <w:r w:rsidRPr="001F3621">
              <w:rPr>
                <w:rFonts w:ascii="Arial" w:hAnsi="Arial" w:cs="Arial"/>
                <w:i/>
                <w:sz w:val="20"/>
                <w:szCs w:val="20"/>
                <w:lang w:val="es-MX"/>
              </w:rPr>
              <w:t>Evaluador Externo</w:t>
            </w:r>
          </w:p>
        </w:tc>
        <w:tc>
          <w:tcPr>
            <w:tcW w:w="1615" w:type="dxa"/>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Instancia Evaluadora</w:t>
            </w:r>
          </w:p>
        </w:tc>
        <w:tc>
          <w:tcPr>
            <w:tcW w:w="5674" w:type="dxa"/>
          </w:tcPr>
          <w:p w:rsidR="00231157" w:rsidRDefault="00231157" w:rsidP="005A1776">
            <w:pPr>
              <w:autoSpaceDE w:val="0"/>
              <w:autoSpaceDN w:val="0"/>
              <w:adjustRightInd w:val="0"/>
              <w:jc w:val="both"/>
              <w:rPr>
                <w:rFonts w:ascii="Arial" w:hAnsi="Arial" w:cs="Arial"/>
                <w:i/>
                <w:sz w:val="20"/>
                <w:szCs w:val="20"/>
                <w:lang w:val="es-MX"/>
              </w:rPr>
            </w:pPr>
            <w:r w:rsidRPr="00231157">
              <w:rPr>
                <w:rFonts w:ascii="Arial" w:hAnsi="Arial" w:cs="Arial"/>
                <w:i/>
                <w:sz w:val="20"/>
                <w:szCs w:val="20"/>
                <w:lang w:val="es-MX"/>
              </w:rPr>
              <w:t xml:space="preserve">Centro de Análisis de Programas y Evaluación de Proyectos, </w:t>
            </w:r>
            <w:proofErr w:type="gramStart"/>
            <w:r w:rsidRPr="00231157">
              <w:rPr>
                <w:rFonts w:ascii="Arial" w:hAnsi="Arial" w:cs="Arial"/>
                <w:i/>
                <w:sz w:val="20"/>
                <w:szCs w:val="20"/>
                <w:lang w:val="es-MX"/>
              </w:rPr>
              <w:t>S.C.</w:t>
            </w:r>
            <w:r>
              <w:rPr>
                <w:rFonts w:ascii="Arial" w:hAnsi="Arial" w:cs="Arial"/>
                <w:i/>
                <w:sz w:val="20"/>
                <w:szCs w:val="20"/>
                <w:lang w:val="es-MX"/>
              </w:rPr>
              <w:t>.</w:t>
            </w:r>
            <w:proofErr w:type="gramEnd"/>
            <w:r>
              <w:rPr>
                <w:rFonts w:ascii="Arial" w:hAnsi="Arial" w:cs="Arial"/>
                <w:i/>
                <w:sz w:val="20"/>
                <w:szCs w:val="20"/>
                <w:lang w:val="es-MX"/>
              </w:rPr>
              <w:t xml:space="preserve"> </w:t>
            </w:r>
          </w:p>
        </w:tc>
      </w:tr>
      <w:tr w:rsidR="00231157" w:rsidTr="005A1776">
        <w:tc>
          <w:tcPr>
            <w:tcW w:w="1783" w:type="dxa"/>
            <w:vMerge/>
          </w:tcPr>
          <w:p w:rsidR="00231157" w:rsidRPr="001F3621" w:rsidRDefault="00231157" w:rsidP="005A1776">
            <w:pPr>
              <w:autoSpaceDE w:val="0"/>
              <w:autoSpaceDN w:val="0"/>
              <w:adjustRightInd w:val="0"/>
              <w:rPr>
                <w:rFonts w:ascii="Arial" w:hAnsi="Arial" w:cs="Arial"/>
                <w:i/>
                <w:sz w:val="20"/>
                <w:szCs w:val="20"/>
                <w:lang w:val="es-MX"/>
              </w:rPr>
            </w:pPr>
          </w:p>
        </w:tc>
        <w:tc>
          <w:tcPr>
            <w:tcW w:w="1615" w:type="dxa"/>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 xml:space="preserve">Coordinador de la Evaluación </w:t>
            </w:r>
          </w:p>
        </w:tc>
        <w:tc>
          <w:tcPr>
            <w:tcW w:w="5674" w:type="dxa"/>
          </w:tcPr>
          <w:p w:rsidR="00231157" w:rsidRDefault="00231157" w:rsidP="005A1776">
            <w:pPr>
              <w:autoSpaceDE w:val="0"/>
              <w:autoSpaceDN w:val="0"/>
              <w:adjustRightInd w:val="0"/>
              <w:jc w:val="both"/>
              <w:rPr>
                <w:rFonts w:ascii="Arial" w:hAnsi="Arial" w:cs="Arial"/>
                <w:i/>
                <w:sz w:val="20"/>
                <w:szCs w:val="20"/>
                <w:lang w:val="es-MX"/>
              </w:rPr>
            </w:pPr>
            <w:proofErr w:type="spellStart"/>
            <w:r w:rsidRPr="00231157">
              <w:rPr>
                <w:rFonts w:ascii="Arial" w:hAnsi="Arial" w:cs="Arial"/>
                <w:i/>
                <w:sz w:val="20"/>
                <w:szCs w:val="20"/>
                <w:lang w:val="es-MX"/>
              </w:rPr>
              <w:t>Janett</w:t>
            </w:r>
            <w:proofErr w:type="spellEnd"/>
            <w:r w:rsidRPr="00231157">
              <w:rPr>
                <w:rFonts w:ascii="Arial" w:hAnsi="Arial" w:cs="Arial"/>
                <w:i/>
                <w:sz w:val="20"/>
                <w:szCs w:val="20"/>
                <w:lang w:val="es-MX"/>
              </w:rPr>
              <w:t xml:space="preserve"> Salvador Martínez</w:t>
            </w:r>
          </w:p>
        </w:tc>
      </w:tr>
      <w:tr w:rsidR="00231157" w:rsidTr="005A1776">
        <w:tc>
          <w:tcPr>
            <w:tcW w:w="1783" w:type="dxa"/>
            <w:vMerge/>
          </w:tcPr>
          <w:p w:rsidR="00231157" w:rsidRPr="001F3621" w:rsidRDefault="00231157" w:rsidP="005A1776">
            <w:pPr>
              <w:autoSpaceDE w:val="0"/>
              <w:autoSpaceDN w:val="0"/>
              <w:adjustRightInd w:val="0"/>
              <w:rPr>
                <w:rFonts w:ascii="Arial" w:hAnsi="Arial" w:cs="Arial"/>
                <w:i/>
                <w:sz w:val="20"/>
                <w:szCs w:val="20"/>
                <w:lang w:val="es-MX"/>
              </w:rPr>
            </w:pPr>
          </w:p>
        </w:tc>
        <w:tc>
          <w:tcPr>
            <w:tcW w:w="1615" w:type="dxa"/>
            <w:vMerge w:val="restart"/>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Principales colaboradores:</w:t>
            </w:r>
          </w:p>
        </w:tc>
        <w:tc>
          <w:tcPr>
            <w:tcW w:w="5674" w:type="dxa"/>
          </w:tcPr>
          <w:p w:rsidR="00231157" w:rsidRPr="00231157" w:rsidRDefault="00231157" w:rsidP="00231157">
            <w:pPr>
              <w:contextualSpacing/>
              <w:rPr>
                <w:rFonts w:ascii="Segoe UI Historic" w:hAnsi="Segoe UI Historic" w:cs="Segoe UI Historic"/>
                <w:sz w:val="20"/>
                <w:szCs w:val="20"/>
              </w:rPr>
            </w:pPr>
            <w:r w:rsidRPr="006C7524">
              <w:rPr>
                <w:rFonts w:ascii="Segoe UI Historic" w:hAnsi="Segoe UI Historic" w:cs="Segoe UI Historic"/>
                <w:sz w:val="20"/>
                <w:szCs w:val="20"/>
              </w:rPr>
              <w:t xml:space="preserve">Jerónimo Hernández </w:t>
            </w:r>
            <w:proofErr w:type="spellStart"/>
            <w:r w:rsidRPr="006C7524">
              <w:rPr>
                <w:rFonts w:ascii="Segoe UI Historic" w:hAnsi="Segoe UI Historic" w:cs="Segoe UI Historic"/>
                <w:sz w:val="20"/>
                <w:szCs w:val="20"/>
              </w:rPr>
              <w:t>Hernández</w:t>
            </w:r>
            <w:proofErr w:type="spellEnd"/>
          </w:p>
        </w:tc>
      </w:tr>
      <w:tr w:rsidR="00231157" w:rsidTr="005A1776">
        <w:tc>
          <w:tcPr>
            <w:tcW w:w="1783" w:type="dxa"/>
            <w:vMerge/>
          </w:tcPr>
          <w:p w:rsidR="00231157" w:rsidRPr="001F3621" w:rsidRDefault="00231157" w:rsidP="005A1776">
            <w:pPr>
              <w:autoSpaceDE w:val="0"/>
              <w:autoSpaceDN w:val="0"/>
              <w:adjustRightInd w:val="0"/>
              <w:rPr>
                <w:rFonts w:ascii="Arial" w:hAnsi="Arial" w:cs="Arial"/>
                <w:i/>
                <w:sz w:val="20"/>
                <w:szCs w:val="20"/>
                <w:lang w:val="es-MX"/>
              </w:rPr>
            </w:pPr>
          </w:p>
        </w:tc>
        <w:tc>
          <w:tcPr>
            <w:tcW w:w="1615" w:type="dxa"/>
            <w:vMerge/>
          </w:tcPr>
          <w:p w:rsidR="00231157" w:rsidRDefault="00231157" w:rsidP="005A1776">
            <w:pPr>
              <w:autoSpaceDE w:val="0"/>
              <w:autoSpaceDN w:val="0"/>
              <w:adjustRightInd w:val="0"/>
              <w:jc w:val="both"/>
              <w:rPr>
                <w:rFonts w:ascii="Arial" w:hAnsi="Arial" w:cs="Arial"/>
                <w:i/>
                <w:sz w:val="20"/>
                <w:szCs w:val="20"/>
                <w:lang w:val="es-MX"/>
              </w:rPr>
            </w:pPr>
          </w:p>
        </w:tc>
        <w:tc>
          <w:tcPr>
            <w:tcW w:w="5674" w:type="dxa"/>
          </w:tcPr>
          <w:p w:rsidR="00231157" w:rsidRDefault="00231157" w:rsidP="005A1776">
            <w:pPr>
              <w:autoSpaceDE w:val="0"/>
              <w:autoSpaceDN w:val="0"/>
              <w:adjustRightInd w:val="0"/>
              <w:spacing w:line="480" w:lineRule="auto"/>
              <w:jc w:val="both"/>
              <w:rPr>
                <w:rFonts w:ascii="Arial" w:hAnsi="Arial" w:cs="Arial"/>
                <w:i/>
                <w:sz w:val="20"/>
                <w:szCs w:val="20"/>
                <w:lang w:val="es-MX"/>
              </w:rPr>
            </w:pPr>
            <w:proofErr w:type="spellStart"/>
            <w:r w:rsidRPr="006C7524">
              <w:rPr>
                <w:rFonts w:ascii="Segoe UI Historic" w:hAnsi="Segoe UI Historic" w:cs="Segoe UI Historic"/>
                <w:sz w:val="20"/>
                <w:szCs w:val="20"/>
              </w:rPr>
              <w:t>Janett</w:t>
            </w:r>
            <w:proofErr w:type="spellEnd"/>
            <w:r w:rsidRPr="006C7524">
              <w:rPr>
                <w:rFonts w:ascii="Segoe UI Historic" w:hAnsi="Segoe UI Historic" w:cs="Segoe UI Historic"/>
                <w:sz w:val="20"/>
                <w:szCs w:val="20"/>
              </w:rPr>
              <w:t xml:space="preserve"> Salvador Martínez</w:t>
            </w:r>
          </w:p>
        </w:tc>
      </w:tr>
      <w:tr w:rsidR="00231157" w:rsidTr="005A1776">
        <w:tc>
          <w:tcPr>
            <w:tcW w:w="1783" w:type="dxa"/>
          </w:tcPr>
          <w:p w:rsidR="00231157" w:rsidRPr="001F3621" w:rsidRDefault="00231157" w:rsidP="005A1776">
            <w:pPr>
              <w:autoSpaceDE w:val="0"/>
              <w:autoSpaceDN w:val="0"/>
              <w:adjustRightInd w:val="0"/>
              <w:rPr>
                <w:rFonts w:ascii="Arial" w:hAnsi="Arial" w:cs="Arial"/>
                <w:i/>
                <w:sz w:val="20"/>
                <w:szCs w:val="20"/>
                <w:lang w:val="es-MX"/>
              </w:rPr>
            </w:pPr>
            <w:r>
              <w:rPr>
                <w:rFonts w:ascii="Arial" w:hAnsi="Arial" w:cs="Arial"/>
                <w:i/>
                <w:sz w:val="20"/>
                <w:szCs w:val="20"/>
                <w:lang w:val="es-MX"/>
              </w:rPr>
              <w:t>Forma de contratación</w:t>
            </w:r>
          </w:p>
        </w:tc>
        <w:tc>
          <w:tcPr>
            <w:tcW w:w="7289" w:type="dxa"/>
            <w:gridSpan w:val="2"/>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Invitación a cuando menos 3 proveedores. Licitación electrónica COMPRANET</w:t>
            </w:r>
          </w:p>
        </w:tc>
      </w:tr>
      <w:tr w:rsidR="00231157" w:rsidTr="005A1776">
        <w:tc>
          <w:tcPr>
            <w:tcW w:w="1783" w:type="dxa"/>
          </w:tcPr>
          <w:p w:rsidR="00231157" w:rsidRPr="001F3621" w:rsidRDefault="00231157" w:rsidP="005A1776">
            <w:pPr>
              <w:autoSpaceDE w:val="0"/>
              <w:autoSpaceDN w:val="0"/>
              <w:adjustRightInd w:val="0"/>
              <w:rPr>
                <w:rFonts w:ascii="Arial" w:hAnsi="Arial" w:cs="Arial"/>
                <w:i/>
                <w:sz w:val="20"/>
                <w:szCs w:val="20"/>
                <w:lang w:val="es-MX"/>
              </w:rPr>
            </w:pPr>
            <w:r w:rsidRPr="001F3621">
              <w:rPr>
                <w:rFonts w:ascii="Arial" w:hAnsi="Arial" w:cs="Arial"/>
                <w:i/>
                <w:sz w:val="20"/>
                <w:szCs w:val="20"/>
                <w:lang w:val="es-MX"/>
              </w:rPr>
              <w:t xml:space="preserve">Nombre de la unidad administrativa </w:t>
            </w:r>
            <w:r>
              <w:rPr>
                <w:rFonts w:ascii="Arial" w:hAnsi="Arial" w:cs="Arial"/>
                <w:i/>
                <w:sz w:val="20"/>
                <w:szCs w:val="20"/>
                <w:lang w:val="es-MX"/>
              </w:rPr>
              <w:t xml:space="preserve">responsable </w:t>
            </w:r>
            <w:r w:rsidRPr="001F3621">
              <w:rPr>
                <w:rFonts w:ascii="Arial" w:hAnsi="Arial" w:cs="Arial"/>
                <w:i/>
                <w:sz w:val="20"/>
                <w:szCs w:val="20"/>
                <w:lang w:val="es-MX"/>
              </w:rPr>
              <w:t>de dar seguimiento a la evaluación</w:t>
            </w:r>
          </w:p>
        </w:tc>
        <w:tc>
          <w:tcPr>
            <w:tcW w:w="7289" w:type="dxa"/>
            <w:gridSpan w:val="2"/>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Subgerencia de Seguimiento y Control de Programas. Gerencia de Planificación Hídrica. CONAGUA</w:t>
            </w:r>
          </w:p>
        </w:tc>
      </w:tr>
      <w:tr w:rsidR="00231157" w:rsidTr="005A1776">
        <w:tc>
          <w:tcPr>
            <w:tcW w:w="1783" w:type="dxa"/>
          </w:tcPr>
          <w:p w:rsidR="00231157" w:rsidRPr="001F3621" w:rsidRDefault="00231157" w:rsidP="005A1776">
            <w:pPr>
              <w:autoSpaceDE w:val="0"/>
              <w:autoSpaceDN w:val="0"/>
              <w:adjustRightInd w:val="0"/>
              <w:rPr>
                <w:rFonts w:ascii="Arial" w:hAnsi="Arial" w:cs="Arial"/>
                <w:i/>
                <w:sz w:val="20"/>
                <w:szCs w:val="20"/>
                <w:lang w:val="es-MX"/>
              </w:rPr>
            </w:pPr>
            <w:r w:rsidRPr="001F3621">
              <w:rPr>
                <w:rFonts w:ascii="Arial" w:hAnsi="Arial" w:cs="Arial"/>
                <w:i/>
                <w:sz w:val="20"/>
                <w:szCs w:val="20"/>
                <w:lang w:val="es-MX"/>
              </w:rPr>
              <w:t xml:space="preserve">Costo </w:t>
            </w:r>
          </w:p>
        </w:tc>
        <w:tc>
          <w:tcPr>
            <w:tcW w:w="7289" w:type="dxa"/>
            <w:gridSpan w:val="2"/>
          </w:tcPr>
          <w:p w:rsidR="00231157" w:rsidRDefault="00231157" w:rsidP="007646D9">
            <w:pPr>
              <w:autoSpaceDE w:val="0"/>
              <w:autoSpaceDN w:val="0"/>
              <w:adjustRightInd w:val="0"/>
              <w:jc w:val="both"/>
              <w:rPr>
                <w:rFonts w:ascii="Arial" w:hAnsi="Arial" w:cs="Arial"/>
                <w:i/>
                <w:sz w:val="20"/>
                <w:szCs w:val="20"/>
                <w:lang w:val="es-MX"/>
              </w:rPr>
            </w:pPr>
            <w:r>
              <w:rPr>
                <w:rFonts w:ascii="Arial" w:hAnsi="Arial" w:cs="Arial"/>
                <w:i/>
                <w:sz w:val="20"/>
                <w:szCs w:val="20"/>
                <w:lang w:val="es-MX"/>
              </w:rPr>
              <w:t xml:space="preserve">$ </w:t>
            </w:r>
            <w:r w:rsidR="007646D9">
              <w:rPr>
                <w:rFonts w:ascii="Arial" w:hAnsi="Arial" w:cs="Arial"/>
                <w:i/>
                <w:sz w:val="20"/>
                <w:szCs w:val="20"/>
                <w:lang w:val="es-MX"/>
              </w:rPr>
              <w:t>250,000 (sinIVA)</w:t>
            </w:r>
          </w:p>
        </w:tc>
      </w:tr>
      <w:tr w:rsidR="00231157" w:rsidTr="005A1776">
        <w:tc>
          <w:tcPr>
            <w:tcW w:w="1783" w:type="dxa"/>
          </w:tcPr>
          <w:p w:rsidR="00231157" w:rsidRPr="001F3621" w:rsidRDefault="00231157" w:rsidP="005A1776">
            <w:pPr>
              <w:autoSpaceDE w:val="0"/>
              <w:autoSpaceDN w:val="0"/>
              <w:adjustRightInd w:val="0"/>
              <w:rPr>
                <w:rFonts w:ascii="Arial" w:hAnsi="Arial" w:cs="Arial"/>
                <w:i/>
                <w:sz w:val="20"/>
                <w:szCs w:val="20"/>
                <w:lang w:val="es-MX"/>
              </w:rPr>
            </w:pPr>
            <w:r w:rsidRPr="001F3621">
              <w:rPr>
                <w:rFonts w:ascii="Arial" w:hAnsi="Arial" w:cs="Arial"/>
                <w:i/>
                <w:sz w:val="20"/>
                <w:szCs w:val="20"/>
                <w:lang w:val="es-MX"/>
              </w:rPr>
              <w:t>Fuente de Financiamiento</w:t>
            </w:r>
          </w:p>
        </w:tc>
        <w:tc>
          <w:tcPr>
            <w:tcW w:w="7289" w:type="dxa"/>
            <w:gridSpan w:val="2"/>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Recursos fiscales</w:t>
            </w:r>
          </w:p>
        </w:tc>
      </w:tr>
      <w:tr w:rsidR="00231157" w:rsidTr="005A1776">
        <w:trPr>
          <w:trHeight w:val="502"/>
        </w:trPr>
        <w:tc>
          <w:tcPr>
            <w:tcW w:w="1783" w:type="dxa"/>
          </w:tcPr>
          <w:p w:rsidR="00231157" w:rsidRPr="001F3621" w:rsidRDefault="00231157" w:rsidP="005A1776">
            <w:pPr>
              <w:autoSpaceDE w:val="0"/>
              <w:autoSpaceDN w:val="0"/>
              <w:adjustRightInd w:val="0"/>
              <w:rPr>
                <w:rFonts w:ascii="Arial" w:hAnsi="Arial" w:cs="Arial"/>
                <w:i/>
                <w:sz w:val="20"/>
                <w:szCs w:val="20"/>
                <w:lang w:val="es-MX"/>
              </w:rPr>
            </w:pPr>
            <w:r w:rsidRPr="001F3621">
              <w:rPr>
                <w:rFonts w:ascii="Arial" w:hAnsi="Arial" w:cs="Arial"/>
                <w:i/>
                <w:sz w:val="20"/>
                <w:szCs w:val="20"/>
                <w:lang w:val="es-MX"/>
              </w:rPr>
              <w:t>Instancia de Coordinación</w:t>
            </w:r>
          </w:p>
        </w:tc>
        <w:tc>
          <w:tcPr>
            <w:tcW w:w="7289" w:type="dxa"/>
            <w:gridSpan w:val="2"/>
          </w:tcPr>
          <w:p w:rsidR="00231157" w:rsidRDefault="00231157" w:rsidP="005A1776">
            <w:pPr>
              <w:autoSpaceDE w:val="0"/>
              <w:autoSpaceDN w:val="0"/>
              <w:adjustRightInd w:val="0"/>
              <w:jc w:val="both"/>
              <w:rPr>
                <w:rFonts w:ascii="Arial" w:hAnsi="Arial" w:cs="Arial"/>
                <w:i/>
                <w:sz w:val="20"/>
                <w:szCs w:val="20"/>
                <w:lang w:val="es-MX"/>
              </w:rPr>
            </w:pPr>
            <w:r>
              <w:rPr>
                <w:rFonts w:ascii="Arial" w:hAnsi="Arial" w:cs="Arial"/>
                <w:i/>
                <w:sz w:val="20"/>
                <w:szCs w:val="20"/>
                <w:lang w:val="es-MX"/>
              </w:rPr>
              <w:t>CONEVAL</w:t>
            </w:r>
          </w:p>
        </w:tc>
      </w:tr>
      <w:tr w:rsidR="00953C78" w:rsidTr="005A1776">
        <w:trPr>
          <w:trHeight w:val="209"/>
        </w:trPr>
        <w:tc>
          <w:tcPr>
            <w:tcW w:w="1783" w:type="dxa"/>
          </w:tcPr>
          <w:p w:rsidR="00953C78" w:rsidRPr="001F3621" w:rsidRDefault="00953C78" w:rsidP="00953C78">
            <w:pPr>
              <w:autoSpaceDE w:val="0"/>
              <w:autoSpaceDN w:val="0"/>
              <w:adjustRightInd w:val="0"/>
              <w:jc w:val="both"/>
              <w:rPr>
                <w:rFonts w:ascii="Arial" w:hAnsi="Arial" w:cs="Arial"/>
                <w:i/>
                <w:sz w:val="20"/>
                <w:szCs w:val="20"/>
                <w:lang w:val="es-MX"/>
              </w:rPr>
            </w:pPr>
            <w:r w:rsidRPr="001F3621">
              <w:rPr>
                <w:rFonts w:ascii="Arial" w:hAnsi="Arial" w:cs="Arial"/>
                <w:i/>
                <w:sz w:val="20"/>
                <w:szCs w:val="20"/>
                <w:lang w:val="es-MX"/>
              </w:rPr>
              <w:t>Informe completo</w:t>
            </w:r>
          </w:p>
        </w:tc>
        <w:tc>
          <w:tcPr>
            <w:tcW w:w="7289" w:type="dxa"/>
            <w:gridSpan w:val="2"/>
          </w:tcPr>
          <w:p w:rsidR="00953C78" w:rsidRDefault="00953C78" w:rsidP="00953C78">
            <w:hyperlink r:id="rId5" w:history="1">
              <w:r w:rsidRPr="00F60CB8">
                <w:rPr>
                  <w:rStyle w:val="Hipervnculo"/>
                </w:rPr>
                <w:t>https://www.gob.mx/semarnat/acciones-y-programas/evaluaciones-a-programas-federales?idiom=es</w:t>
              </w:r>
            </w:hyperlink>
          </w:p>
          <w:p w:rsidR="00953C78" w:rsidRPr="00CF1CC5" w:rsidRDefault="00953C78" w:rsidP="00953C78"/>
        </w:tc>
      </w:tr>
    </w:tbl>
    <w:p w:rsidR="00231157" w:rsidRPr="006C7524" w:rsidRDefault="00231157" w:rsidP="00231157">
      <w:pPr>
        <w:contextualSpacing/>
        <w:jc w:val="both"/>
        <w:rPr>
          <w:rFonts w:ascii="Segoe UI Historic" w:hAnsi="Segoe UI Historic" w:cs="Segoe UI Historic"/>
          <w:sz w:val="20"/>
          <w:szCs w:val="20"/>
        </w:rPr>
      </w:pPr>
    </w:p>
    <w:p w:rsidR="00231157" w:rsidRPr="006C7524" w:rsidRDefault="00231157" w:rsidP="00231157">
      <w:pPr>
        <w:contextualSpacing/>
        <w:rPr>
          <w:rFonts w:ascii="Segoe UI Historic" w:hAnsi="Segoe UI Historic" w:cs="Segoe UI Historic"/>
          <w:sz w:val="20"/>
          <w:szCs w:val="20"/>
        </w:rPr>
      </w:pPr>
    </w:p>
    <w:p w:rsidR="00231157" w:rsidRPr="0016628A" w:rsidRDefault="00231157" w:rsidP="00231157">
      <w:pPr>
        <w:autoSpaceDE w:val="0"/>
        <w:autoSpaceDN w:val="0"/>
        <w:adjustRightInd w:val="0"/>
        <w:rPr>
          <w:rFonts w:ascii="Segoe UI Historic" w:hAnsi="Segoe UI Historic" w:cs="Segoe UI Historic"/>
          <w:sz w:val="20"/>
          <w:szCs w:val="20"/>
        </w:rPr>
      </w:pPr>
    </w:p>
    <w:p w:rsidR="00231157" w:rsidRDefault="00231157">
      <w:bookmarkStart w:id="0" w:name="_GoBack"/>
      <w:bookmarkEnd w:id="0"/>
    </w:p>
    <w:sectPr w:rsidR="0023115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oberana Sans">
    <w:altName w:val="Soberana Sans"/>
    <w:panose1 w:val="02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2DC5"/>
    <w:multiLevelType w:val="hybridMultilevel"/>
    <w:tmpl w:val="14F8C53A"/>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9872864"/>
    <w:multiLevelType w:val="hybridMultilevel"/>
    <w:tmpl w:val="A0D8FC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0296DC8"/>
    <w:multiLevelType w:val="multilevel"/>
    <w:tmpl w:val="080A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5EF17B13"/>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1303617"/>
    <w:multiLevelType w:val="multilevel"/>
    <w:tmpl w:val="080A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FC9"/>
    <w:rsid w:val="00231157"/>
    <w:rsid w:val="00344FC9"/>
    <w:rsid w:val="005F40F9"/>
    <w:rsid w:val="007646D9"/>
    <w:rsid w:val="00953C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4E08E5-8D05-4934-8506-C59A5D43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FC9"/>
    <w:pPr>
      <w:spacing w:after="0" w:line="240" w:lineRule="auto"/>
    </w:pPr>
    <w:rPr>
      <w:rFonts w:ascii="Times New Roman" w:hAnsi="Times New Roman" w:cs="Times New Roman"/>
      <w:sz w:val="24"/>
      <w:szCs w:val="24"/>
      <w:lang w:val="es-ES_tradnl" w:eastAsia="es-ES_tradnl"/>
    </w:rPr>
  </w:style>
  <w:style w:type="paragraph" w:styleId="Ttulo3">
    <w:name w:val="heading 3"/>
    <w:basedOn w:val="Normal"/>
    <w:next w:val="Normal"/>
    <w:link w:val="Ttulo3Car"/>
    <w:uiPriority w:val="99"/>
    <w:unhideWhenUsed/>
    <w:qFormat/>
    <w:rsid w:val="00231157"/>
    <w:pPr>
      <w:keepNext/>
      <w:keepLines/>
      <w:spacing w:before="120" w:after="120"/>
      <w:jc w:val="both"/>
      <w:outlineLvl w:val="2"/>
    </w:pPr>
    <w:rPr>
      <w:rFonts w:ascii="Soberana Sans" w:eastAsiaTheme="majorEastAsia" w:hAnsi="Soberana Sans" w:cstheme="majorBidi"/>
      <w:b/>
      <w:color w:val="404040" w:themeColor="text1" w:themeTint="BF"/>
      <w:sz w:val="28"/>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detablaclara">
    <w:name w:val="Grid Table Light"/>
    <w:basedOn w:val="Tablanormal"/>
    <w:uiPriority w:val="40"/>
    <w:rsid w:val="00344FC9"/>
    <w:pPr>
      <w:spacing w:after="0" w:line="240" w:lineRule="auto"/>
    </w:pPr>
    <w:rPr>
      <w:rFonts w:ascii="Arial" w:hAnsi="Arial"/>
      <w:color w:val="262626" w:themeColor="text1" w:themeTint="D9"/>
      <w:sz w:val="24"/>
      <w:szCs w:val="24"/>
      <w:lang w:val="es-ES_trad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3Car">
    <w:name w:val="Título 3 Car"/>
    <w:basedOn w:val="Fuentedeprrafopredeter"/>
    <w:link w:val="Ttulo3"/>
    <w:uiPriority w:val="99"/>
    <w:rsid w:val="00231157"/>
    <w:rPr>
      <w:rFonts w:ascii="Soberana Sans" w:eastAsiaTheme="majorEastAsia" w:hAnsi="Soberana Sans" w:cstheme="majorBidi"/>
      <w:b/>
      <w:color w:val="404040" w:themeColor="text1" w:themeTint="BF"/>
      <w:sz w:val="28"/>
      <w:szCs w:val="24"/>
    </w:rPr>
  </w:style>
  <w:style w:type="paragraph" w:styleId="Prrafodelista">
    <w:name w:val="List Paragraph"/>
    <w:basedOn w:val="Normal"/>
    <w:link w:val="PrrafodelistaCar"/>
    <w:uiPriority w:val="34"/>
    <w:qFormat/>
    <w:rsid w:val="00231157"/>
    <w:pPr>
      <w:spacing w:after="160" w:line="259" w:lineRule="auto"/>
      <w:ind w:left="720"/>
      <w:contextualSpacing/>
    </w:pPr>
    <w:rPr>
      <w:rFonts w:asciiTheme="minorHAnsi" w:hAnsiTheme="minorHAnsi" w:cstheme="minorBidi"/>
      <w:sz w:val="22"/>
      <w:szCs w:val="22"/>
      <w:lang w:val="es-MX" w:eastAsia="en-US"/>
    </w:rPr>
  </w:style>
  <w:style w:type="table" w:styleId="Tablaconcuadrcula">
    <w:name w:val="Table Grid"/>
    <w:basedOn w:val="Tablanormal"/>
    <w:uiPriority w:val="59"/>
    <w:rsid w:val="00231157"/>
    <w:pPr>
      <w:spacing w:after="0" w:line="240" w:lineRule="auto"/>
    </w:pPr>
    <w:rPr>
      <w:rFonts w:ascii="Segoe UI" w:hAnsi="Segoe UI"/>
      <w:color w:val="262626" w:themeColor="text1" w:themeTint="D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231157"/>
  </w:style>
  <w:style w:type="character" w:styleId="Hipervnculo">
    <w:name w:val="Hyperlink"/>
    <w:basedOn w:val="Fuentedeprrafopredeter"/>
    <w:uiPriority w:val="99"/>
    <w:unhideWhenUsed/>
    <w:rsid w:val="00953C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b.mx/semarnat/acciones-y-programas/evaluaciones-a-programas-federales?idiom=e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3111</Words>
  <Characters>17111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CONAGUA</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Sanchez Luis Enrique</dc:creator>
  <cp:keywords/>
  <dc:description/>
  <cp:lastModifiedBy>Maria Sabas Juarez Diaz</cp:lastModifiedBy>
  <cp:revision>2</cp:revision>
  <dcterms:created xsi:type="dcterms:W3CDTF">2018-07-05T17:59:00Z</dcterms:created>
  <dcterms:modified xsi:type="dcterms:W3CDTF">2018-07-05T17:59:00Z</dcterms:modified>
</cp:coreProperties>
</file>